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5"/>
        <w:spacing w:before="0" w:after="0"/>
        <w:ind w:hanging="142" w:right="-284"/>
        <w:jc w:val="center"/>
        <w:rPr>
          <w:rFonts w:ascii="Times New Roman" w:hAnsi="Times New Roman" w:cs="Times New Roman"/>
        </w:rPr>
      </w:pPr>
      <w:r>
        <w:rPr>
          <w:rFonts w:cs="Times New Roman" w:ascii="Times New Roman" w:hAnsi="Times New Roman"/>
        </w:rPr>
      </w:r>
    </w:p>
    <w:p>
      <w:pPr>
        <w:pStyle w:val="Heading5"/>
        <w:spacing w:before="0" w:after="0"/>
        <w:ind w:hanging="142" w:right="-284"/>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Приложение № 1</w:t>
      </w:r>
    </w:p>
    <w:p>
      <w:pPr>
        <w:pStyle w:val="Heading5"/>
        <w:spacing w:before="0" w:after="0"/>
        <w:ind w:hanging="142" w:right="-284"/>
        <w:jc w:val="center"/>
        <w:rPr>
          <w:rFonts w:ascii="Times New Roman" w:hAnsi="Times New Roman" w:cs="Times New Roman"/>
        </w:rPr>
      </w:pPr>
      <w:r>
        <w:rPr>
          <w:rFonts w:cs="Times New Roman" w:ascii="Times New Roman" w:hAnsi="Times New Roman"/>
        </w:rPr>
      </w:r>
    </w:p>
    <w:p>
      <w:pPr>
        <w:pStyle w:val="Heading5"/>
        <w:spacing w:before="0" w:after="0"/>
        <w:ind w:hanging="142" w:right="-284"/>
        <w:jc w:val="center"/>
        <w:rPr>
          <w:rFonts w:ascii="Times New Roman" w:hAnsi="Times New Roman" w:cs="Times New Roman"/>
        </w:rPr>
      </w:pPr>
      <w:r>
        <w:rPr>
          <w:rFonts w:cs="Times New Roman" w:ascii="Times New Roman" w:hAnsi="Times New Roman"/>
        </w:rPr>
        <w:t>Техническое задание</w:t>
      </w:r>
    </w:p>
    <w:p>
      <w:pPr>
        <w:pStyle w:val="docdata"/>
        <w:spacing w:beforeAutospacing="0" w:before="0" w:afterAutospacing="0" w:after="0"/>
        <w:ind w:hanging="142" w:right="-284"/>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Pr>
          <w:b/>
          <w:bCs/>
          <w:color w:val="000000"/>
          <w:sz w:val="22"/>
          <w:szCs w:val="22"/>
        </w:rPr>
        <w:t xml:space="preserve">работ по </w:t>
      </w:r>
      <w:bookmarkStart w:id="1" w:name="_Hlk173489507"/>
      <w:r>
        <w:rPr>
          <w:b/>
          <w:bCs/>
          <w:color w:val="000000"/>
          <w:sz w:val="22"/>
          <w:szCs w:val="22"/>
        </w:rPr>
        <w:t>демонтажу аварийны</w:t>
      </w:r>
      <w:r>
        <w:rPr>
          <w:b/>
          <w:bCs/>
          <w:color w:val="000000"/>
          <w:sz w:val="22"/>
          <w:szCs w:val="22"/>
        </w:rPr>
        <w:t>х</w:t>
      </w:r>
      <w:r>
        <w:rPr>
          <w:b/>
          <w:bCs/>
          <w:color w:val="000000"/>
          <w:sz w:val="22"/>
          <w:szCs w:val="22"/>
        </w:rPr>
        <w:t xml:space="preserve"> балконов.</w:t>
      </w:r>
      <w:bookmarkEnd w:id="1"/>
    </w:p>
    <w:p>
      <w:pPr>
        <w:pStyle w:val="BodyText"/>
        <w:spacing w:lineRule="auto" w:line="276" w:before="0" w:after="0"/>
        <w:ind w:left="-142" w:right="-143"/>
        <w:jc w:val="both"/>
        <w:rPr>
          <w:rFonts w:ascii="Times New Roman" w:hAnsi="Times New Roman"/>
          <w:color w:val="000000"/>
          <w:sz w:val="22"/>
          <w:szCs w:val="22"/>
        </w:rPr>
      </w:pPr>
      <w:r>
        <w:rPr>
          <w:rFonts w:eastAsia="SimSun" w:ascii="Times New Roman" w:hAnsi="Times New Roman"/>
          <w:b/>
          <w:sz w:val="22"/>
          <w:szCs w:val="22"/>
          <w:lang w:eastAsia="hi-IN" w:bidi="hi-IN"/>
        </w:rPr>
        <w:t>1. Наименование выполняемых работ:</w:t>
      </w:r>
      <w:r>
        <w:rPr>
          <w:rFonts w:ascii="Times New Roman" w:hAnsi="Times New Roman"/>
          <w:bCs/>
          <w:sz w:val="22"/>
          <w:szCs w:val="22"/>
        </w:rPr>
        <w:t xml:space="preserve"> Архангельская область, г. Северодвинск,  ул. Мира, д. 14 – демонтаж аварийных балконов (кв.3; кв.4, ком.21; кв.7, ком.35; кв.8, ком.43; кв.13, ком.68; кв.13, ком.71; кв.16, ком.87; кв.18, ком.98)</w:t>
      </w:r>
    </w:p>
    <w:p>
      <w:pPr>
        <w:pStyle w:val="BodyText"/>
        <w:spacing w:lineRule="auto" w:line="276" w:before="0" w:after="0"/>
        <w:ind w:left="-142" w:right="-143"/>
        <w:jc w:val="both"/>
        <w:rPr>
          <w:rFonts w:ascii="Times New Roman" w:hAnsi="Times New Roman"/>
          <w:color w:val="000000"/>
          <w:sz w:val="22"/>
          <w:szCs w:val="22"/>
        </w:rPr>
      </w:pPr>
      <w:r>
        <w:rPr>
          <w:rFonts w:eastAsia="SimSun" w:ascii="Times New Roman" w:hAnsi="Times New Roman"/>
          <w:b/>
          <w:sz w:val="22"/>
          <w:szCs w:val="22"/>
          <w:lang w:eastAsia="hi-IN" w:bidi="hi-IN"/>
        </w:rPr>
        <w:t>ОКПД 2:</w:t>
      </w:r>
      <w:r>
        <w:rPr>
          <w:rFonts w:ascii="Times New Roman" w:hAnsi="Times New Roman"/>
          <w:color w:val="000000"/>
          <w:sz w:val="22"/>
          <w:szCs w:val="22"/>
        </w:rPr>
        <w:t xml:space="preserve"> 43.99.90.190 Работы строительные специализированные прочие, не включенные в другие группировки</w:t>
      </w:r>
    </w:p>
    <w:p>
      <w:pPr>
        <w:pStyle w:val="BodyText"/>
        <w:spacing w:lineRule="auto" w:line="276" w:before="0" w:after="0"/>
        <w:ind w:left="-142" w:right="-143"/>
        <w:jc w:val="both"/>
        <w:rPr>
          <w:rFonts w:ascii="Times New Roman" w:hAnsi="Times New Roman" w:eastAsia="SimSun"/>
          <w:sz w:val="22"/>
          <w:szCs w:val="22"/>
          <w:lang w:eastAsia="hi-IN" w:bidi="hi-IN"/>
        </w:rPr>
      </w:pPr>
      <w:r>
        <w:rPr>
          <w:rFonts w:eastAsia="SimSun" w:ascii="Times New Roman" w:hAnsi="Times New Roman"/>
          <w:b/>
          <w:sz w:val="22"/>
          <w:szCs w:val="22"/>
          <w:lang w:eastAsia="hi-IN" w:bidi="hi-IN"/>
        </w:rPr>
        <w:t>2. Виды выполняемых работ:</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
          <w:sz w:val="22"/>
          <w:szCs w:val="22"/>
          <w:lang w:eastAsia="hi-IN" w:bidi="hi-IN"/>
        </w:rPr>
        <w:t>3. Место выполнения работ</w:t>
      </w:r>
      <w:r>
        <w:rPr>
          <w:rFonts w:ascii="Times New Roman" w:hAnsi="Times New Roman"/>
          <w:b/>
          <w:sz w:val="22"/>
          <w:szCs w:val="22"/>
        </w:rPr>
        <w:t xml:space="preserve">: </w:t>
      </w:r>
      <w:r>
        <w:rPr>
          <w:rFonts w:ascii="Times New Roman" w:hAnsi="Times New Roman"/>
          <w:b w:val="false"/>
          <w:bCs w:val="false"/>
          <w:sz w:val="22"/>
          <w:szCs w:val="22"/>
        </w:rPr>
        <w:t>Архангельская область,</w:t>
      </w:r>
      <w:r>
        <w:rPr>
          <w:rFonts w:ascii="Times New Roman" w:hAnsi="Times New Roman"/>
          <w:b/>
          <w:sz w:val="22"/>
          <w:szCs w:val="22"/>
        </w:rPr>
        <w:t xml:space="preserve"> </w:t>
      </w:r>
      <w:r>
        <w:rPr>
          <w:rFonts w:ascii="Times New Roman" w:hAnsi="Times New Roman"/>
          <w:bCs/>
          <w:sz w:val="22"/>
          <w:szCs w:val="22"/>
        </w:rPr>
        <w:t>г. Северодвинск, ул. Мира, д. 14 (кв.3; кв.4, ком.21; кв.7, ком.35; кв.8, ком.43; кв.13, ком.68; кв.13, ком.71; кв.16, ком.87; кв.18, ком.98)</w:t>
      </w:r>
    </w:p>
    <w:p>
      <w:pPr>
        <w:pStyle w:val="Normal"/>
        <w:spacing w:lineRule="auto" w:line="276"/>
        <w:ind w:left="-142" w:right="-143"/>
        <w:jc w:val="both"/>
        <w:rPr>
          <w:rFonts w:ascii="Times New Roman" w:hAnsi="Times New Roman"/>
          <w:bCs/>
          <w:sz w:val="22"/>
          <w:szCs w:val="22"/>
        </w:rPr>
      </w:pPr>
      <w:r>
        <w:rPr>
          <w:rFonts w:eastAsia="SimSun" w:ascii="Times New Roman" w:hAnsi="Times New Roman"/>
          <w:b/>
          <w:sz w:val="22"/>
          <w:szCs w:val="22"/>
          <w:lang w:eastAsia="hi-IN" w:bidi="hi-IN"/>
        </w:rPr>
        <w:t>4. Срок выполнения работ</w:t>
      </w:r>
      <w:r>
        <w:rPr>
          <w:rFonts w:ascii="Times New Roman" w:hAnsi="Times New Roman"/>
          <w:b/>
          <w:sz w:val="22"/>
          <w:szCs w:val="22"/>
        </w:rPr>
        <w:t xml:space="preserve">: </w:t>
      </w:r>
      <w:r>
        <w:rPr>
          <w:rFonts w:ascii="Times New Roman" w:hAnsi="Times New Roman"/>
          <w:bCs/>
          <w:sz w:val="22"/>
          <w:szCs w:val="22"/>
        </w:rPr>
        <w:t>с момента заключения догово‌‌​​⁠‍​​​‌‍‌‌</w:t>
      </w:r>
      <w:r>
        <w:rPr>
          <w:rFonts w:ascii="Times New Roman" w:hAnsi="Times New Roman"/>
          <w:bCs/>
          <w:sz w:val="22"/>
          <w:sz w:val="22"/>
          <w:szCs w:val="22"/>
        </w:rPr>
        <w:t>﻿‍‌‍‌⁠⁠‍⁠⁠‍‌​​​‍‌‍⁠‍⁠‍‍‍‌﻿​​﻿‍‍</w:t>
      </w:r>
      <w:r>
        <w:rPr>
          <w:rFonts w:ascii="Times New Roman" w:hAnsi="Times New Roman"/>
          <w:bCs/>
          <w:sz w:val="22"/>
          <w:szCs w:val="22"/>
        </w:rPr>
        <w:t>ра по 01.10.2026 г.</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pPr>
        <w:pStyle w:val="Normal"/>
        <w:numPr>
          <w:ilvl w:val="0"/>
          <w:numId w:val="0"/>
        </w:numPr>
        <w:spacing w:lineRule="auto" w:line="276"/>
        <w:ind w:hanging="0" w:left="-142" w:right="-143"/>
        <w:jc w:val="both"/>
        <w:outlineLvl w:val="0"/>
        <w:rPr>
          <w:rFonts w:ascii="Times New Roman" w:hAnsi="Times New Roman" w:eastAsia="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pPr>
        <w:pStyle w:val="Normal"/>
        <w:numPr>
          <w:ilvl w:val="0"/>
          <w:numId w:val="0"/>
        </w:numPr>
        <w:spacing w:lineRule="auto" w:line="276"/>
        <w:ind w:hanging="0"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pPr>
        <w:pStyle w:val="Normal"/>
        <w:numPr>
          <w:ilvl w:val="0"/>
          <w:numId w:val="0"/>
        </w:numPr>
        <w:spacing w:lineRule="auto" w:line="276"/>
        <w:ind w:hanging="0"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pPr>
        <w:pStyle w:val="Normal"/>
        <w:numPr>
          <w:ilvl w:val="0"/>
          <w:numId w:val="0"/>
        </w:numPr>
        <w:spacing w:lineRule="auto" w:line="276"/>
        <w:ind w:hanging="0"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pPr>
        <w:pStyle w:val="Normal"/>
        <w:spacing w:lineRule="auto" w:line="276"/>
        <w:ind w:left="-142" w:right="-143"/>
        <w:jc w:val="both"/>
        <w:rPr>
          <w:rFonts w:ascii="Times New Roman" w:hAnsi="Times New Roman" w:eastAsia="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eastAsia="Times New Roman" w:ascii="Times New Roman" w:hAnsi="Times New Roman"/>
          <w:sz w:val="22"/>
          <w:szCs w:val="22"/>
        </w:rPr>
        <w:t>допуск работников Подрядчика на территорию учреждения).</w:t>
      </w:r>
    </w:p>
    <w:p>
      <w:pPr>
        <w:pStyle w:val="Normal"/>
        <w:spacing w:lineRule="auto" w:line="276"/>
        <w:ind w:left="-142" w:right="-143"/>
        <w:jc w:val="both"/>
        <w:rPr>
          <w:rFonts w:ascii="Times New Roman" w:hAnsi="Times New Roman" w:eastAsia="SimSun"/>
          <w:b/>
          <w:sz w:val="22"/>
          <w:szCs w:val="22"/>
          <w:lang w:eastAsia="hi-IN" w:bidi="hi-IN"/>
        </w:rPr>
      </w:pPr>
      <w:r>
        <w:rPr>
          <w:rFonts w:eastAsia="SimSun" w:ascii="Times New Roman" w:hAnsi="Times New Roman"/>
          <w:b/>
          <w:sz w:val="22"/>
          <w:szCs w:val="22"/>
          <w:lang w:eastAsia="hi-IN" w:bidi="hi-IN"/>
        </w:rPr>
        <w:t>5. Общие требования к выполнению работ:</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eastAsia="SimSun" w:ascii="Times New Roman" w:hAnsi="Times New Roman"/>
          <w:bCs/>
          <w:sz w:val="22"/>
          <w:szCs w:val="22"/>
          <w:lang w:eastAsia="hi-IN" w:bidi="hi-IN"/>
        </w:rPr>
        <w:t xml:space="preserve"> </w:t>
      </w:r>
      <w:r>
        <w:rPr>
          <w:rFonts w:eastAsia="SimSun" w:ascii="Times New Roman" w:hAnsi="Times New Roman"/>
          <w:sz w:val="22"/>
          <w:szCs w:val="22"/>
          <w:lang w:eastAsia="hi-IN" w:bidi="hi-IN"/>
        </w:rPr>
        <w:t xml:space="preserve">согласно условиям Договора, настоящего Технического задания. </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5.4.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 xml:space="preserve">5.5.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5.6.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pPr>
        <w:pStyle w:val="Normal"/>
        <w:spacing w:lineRule="auto" w:line="276"/>
        <w:ind w:left="-142" w:right="-143"/>
        <w:jc w:val="both"/>
        <w:rPr>
          <w:rFonts w:ascii="Times New Roman" w:hAnsi="Times New Roman"/>
          <w:sz w:val="22"/>
          <w:szCs w:val="22"/>
          <w:lang w:eastAsia="ru-RU"/>
        </w:rPr>
      </w:pPr>
      <w:r>
        <w:rPr>
          <w:rFonts w:eastAsia="SimSun" w:ascii="Times New Roman" w:hAnsi="Times New Roman"/>
          <w:sz w:val="22"/>
          <w:szCs w:val="22"/>
          <w:lang w:eastAsia="hi-IN" w:bidi="hi-IN"/>
        </w:rPr>
        <w:t xml:space="preserve">5.7.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pPr>
        <w:pStyle w:val="Normal"/>
        <w:spacing w:lineRule="auto" w:line="276"/>
        <w:ind w:left="-142" w:right="-143"/>
        <w:jc w:val="both"/>
        <w:rPr>
          <w:rFonts w:ascii="Times New Roman" w:hAnsi="Times New Roman"/>
          <w:sz w:val="22"/>
          <w:szCs w:val="22"/>
          <w:lang w:eastAsia="ru-RU"/>
        </w:rPr>
      </w:pPr>
      <w:r>
        <w:rPr>
          <w:rFonts w:ascii="Times New Roman" w:hAnsi="Times New Roman"/>
          <w:sz w:val="22"/>
          <w:szCs w:val="22"/>
          <w:lang w:eastAsia="ru-RU"/>
        </w:rPr>
        <w:t>5.8. Подрядчик должен немедленно извещать Заказчика и до получения соответствующих указаний приостановить работы при обнаружении:</w:t>
      </w:r>
    </w:p>
    <w:p>
      <w:pPr>
        <w:pStyle w:val="Normal"/>
        <w:spacing w:lineRule="auto" w:line="276"/>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pPr>
        <w:pStyle w:val="Normal"/>
        <w:spacing w:lineRule="auto" w:line="276"/>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5.9.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5.10.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pPr>
        <w:pStyle w:val="Normal"/>
        <w:spacing w:lineRule="auto" w:line="276"/>
        <w:ind w:left="-142" w:right="-143"/>
        <w:jc w:val="both"/>
        <w:rPr>
          <w:rFonts w:ascii="Times New Roman" w:hAnsi="Times New Roman"/>
          <w:sz w:val="22"/>
          <w:szCs w:val="22"/>
        </w:rPr>
      </w:pPr>
      <w:r>
        <w:rPr>
          <w:rFonts w:eastAsia="SimSun" w:ascii="Times New Roman" w:hAnsi="Times New Roman"/>
          <w:sz w:val="22"/>
          <w:szCs w:val="22"/>
          <w:lang w:eastAsia="hi-IN" w:bidi="hi-IN"/>
        </w:rPr>
        <w:t xml:space="preserve">5.11.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pPr>
        <w:pStyle w:val="Normal"/>
        <w:spacing w:lineRule="auto" w:line="276"/>
        <w:ind w:left="-142" w:right="-143"/>
        <w:jc w:val="both"/>
        <w:rPr>
          <w:rFonts w:ascii="Times New Roman" w:hAnsi="Times New Roman"/>
          <w:b/>
          <w:bCs/>
          <w:sz w:val="22"/>
          <w:szCs w:val="22"/>
        </w:rPr>
      </w:pPr>
      <w:r>
        <w:rPr>
          <w:rFonts w:ascii="Times New Roman" w:hAnsi="Times New Roman"/>
          <w:sz w:val="22"/>
          <w:szCs w:val="22"/>
        </w:rPr>
        <w:t>5.12. Заказчик имеет право:</w:t>
      </w:r>
    </w:p>
    <w:p>
      <w:pPr>
        <w:pStyle w:val="Normal"/>
        <w:spacing w:lineRule="auto" w:line="276"/>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142" w:right="-143"/>
        <w:jc w:val="both"/>
        <w:rPr>
          <w:rFonts w:ascii="Times New Roman" w:hAnsi="Times New Roman"/>
          <w:sz w:val="22"/>
          <w:szCs w:val="22"/>
        </w:rPr>
      </w:pPr>
      <w:r>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pPr>
        <w:pStyle w:val="Normal"/>
        <w:spacing w:lineRule="auto" w:line="276"/>
        <w:ind w:left="-142" w:right="-143"/>
        <w:jc w:val="both"/>
        <w:rPr>
          <w:rFonts w:ascii="Times New Roman" w:hAnsi="Times New Roman" w:eastAsia="SimSun"/>
          <w:b/>
          <w:bCs/>
          <w:sz w:val="22"/>
          <w:szCs w:val="22"/>
          <w:lang w:eastAsia="hi-IN" w:bidi="hi-IN"/>
        </w:rPr>
      </w:pPr>
      <w:r>
        <w:rPr>
          <w:rFonts w:eastAsia="SimSun" w:ascii="Times New Roman" w:hAnsi="Times New Roman"/>
          <w:b/>
          <w:sz w:val="22"/>
          <w:szCs w:val="22"/>
          <w:lang w:eastAsia="hi-IN" w:bidi="hi-IN"/>
        </w:rPr>
        <w:t>7.</w:t>
      </w:r>
      <w:r>
        <w:rPr>
          <w:rFonts w:eastAsia="SimSun" w:ascii="Times New Roma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xml:space="preserve">7.1. Работы должны быть выполнены в соответствии с </w:t>
      </w:r>
      <w:r>
        <w:rPr>
          <w:rFonts w:eastAsia="SimSun" w:ascii="Times New Roman" w:hAnsi="Times New Roman"/>
          <w:sz w:val="22"/>
          <w:szCs w:val="22"/>
          <w:lang w:eastAsia="hi-IN" w:bidi="hi-IN"/>
        </w:rPr>
        <w:t xml:space="preserve">документацией (проектно-сметная документация, приложенная отдельными файлами), </w:t>
      </w:r>
      <w:r>
        <w:rPr>
          <w:rFonts w:eastAsia="SimSun" w:ascii="Times New Roma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pPr>
        <w:pStyle w:val="Normal"/>
        <w:spacing w:lineRule="auto" w:line="276"/>
        <w:ind w:left="-142" w:right="-143"/>
        <w:jc w:val="both"/>
        <w:rPr>
          <w:rFonts w:ascii="Times New Roman" w:hAnsi="Times New Roman"/>
          <w:b/>
          <w:spacing w:val="2"/>
          <w:sz w:val="22"/>
          <w:szCs w:val="22"/>
        </w:rPr>
      </w:pPr>
      <w:r>
        <w:rPr>
          <w:rFonts w:eastAsia="SimSun" w:ascii="Times New Roman" w:hAnsi="Times New Roman"/>
          <w:sz w:val="22"/>
          <w:szCs w:val="22"/>
          <w:lang w:eastAsia="hi-IN" w:bidi="hi-IN"/>
        </w:rPr>
        <w:t>- Федеральный закон №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fill="FFFFFF" w:val="clear"/>
        </w:rPr>
        <w:t xml:space="preserve"> (с изменениями)</w:t>
      </w:r>
      <w:r>
        <w:rPr>
          <w:rFonts w:ascii="Times New Roman" w:hAnsi="Times New Roman"/>
          <w:spacing w:val="2"/>
          <w:sz w:val="22"/>
          <w:szCs w:val="22"/>
        </w:rPr>
        <w:t>»;</w:t>
      </w:r>
    </w:p>
    <w:p>
      <w:pPr>
        <w:pStyle w:val="Heading1"/>
        <w:shd w:val="clear" w:color="auto" w:fill="FFFFFF"/>
        <w:spacing w:lineRule="auto" w:line="276" w:beforeAutospacing="0" w:before="0" w:afterAutospacing="0" w:after="0"/>
        <w:ind w:left="-142" w:right="-143"/>
        <w:jc w:val="both"/>
        <w:rPr>
          <w:b w:val="false"/>
          <w:spacing w:val="2"/>
          <w:sz w:val="22"/>
          <w:szCs w:val="22"/>
        </w:rPr>
      </w:pPr>
      <w:r>
        <w:rPr>
          <w:rFonts w:eastAsia="SimSun"/>
          <w:b w:val="false"/>
          <w:sz w:val="22"/>
          <w:szCs w:val="22"/>
          <w:lang w:eastAsia="hi-IN" w:bidi="hi-IN"/>
        </w:rPr>
        <w:t xml:space="preserve">- </w:t>
      </w:r>
      <w:r>
        <w:rPr>
          <w:b w:val="false"/>
          <w:spacing w:val="2"/>
          <w:sz w:val="22"/>
          <w:szCs w:val="22"/>
        </w:rPr>
        <w:t>Градостроительный кодекс Российской Федерации</w:t>
      </w:r>
      <w:r>
        <w:rPr>
          <w:b w:val="false"/>
          <w:sz w:val="22"/>
          <w:szCs w:val="22"/>
          <w:shd w:fill="FFFFFF" w:val="clear"/>
        </w:rPr>
        <w:t xml:space="preserve"> (с изменениями)</w:t>
      </w:r>
      <w:r>
        <w:rPr>
          <w:b w:val="false"/>
          <w:spacing w:val="2"/>
          <w:sz w:val="22"/>
          <w:szCs w:val="22"/>
        </w:rPr>
        <w:t>;</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СНиП 12-03-2001 «Безопасность труда в строительстве Часть 1. Общие требования»;</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СНиП 12-04-2002 «Безопасность труда в строительстве Часть 2. Строительное производство»;</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Федеральный закон от 21.12.1994 № 69-ФЗ «О пожарной безопасности» (с Изменениями);</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 Федеральный закон от 27.12.2002 № 184-ФЗ «О техническом регулировании» (с Изменениями);</w:t>
      </w:r>
    </w:p>
    <w:p>
      <w:pPr>
        <w:pStyle w:val="Normal"/>
        <w:spacing w:lineRule="auto" w:line="276"/>
        <w:ind w:left="-142" w:right="-143"/>
        <w:jc w:val="both"/>
        <w:rPr>
          <w:rFonts w:ascii="Times New Roman" w:hAnsi="Times New Roman"/>
          <w:sz w:val="22"/>
          <w:szCs w:val="22"/>
          <w:shd w:fill="FFFFFF" w:val="clear"/>
        </w:rPr>
      </w:pPr>
      <w:r>
        <w:rPr>
          <w:rFonts w:ascii="Times New Roman" w:hAnsi="Times New Roman"/>
          <w:sz w:val="22"/>
          <w:szCs w:val="22"/>
          <w:shd w:fill="FFFFFF" w:val="clear"/>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fill="FFFFFF" w:val="clear"/>
        </w:rPr>
        <w:t xml:space="preserve">Технический регламент о безопасности зданий и сооружений </w:t>
      </w:r>
      <w:r>
        <w:rPr>
          <w:rFonts w:ascii="Times New Roman" w:hAnsi="Times New Roman"/>
          <w:sz w:val="22"/>
          <w:szCs w:val="22"/>
          <w:shd w:fill="FFFFFF" w:val="clear"/>
        </w:rPr>
        <w:t>(с изменениями)»;</w:t>
      </w:r>
    </w:p>
    <w:p>
      <w:pPr>
        <w:pStyle w:val="Normal"/>
        <w:widowControl/>
        <w:spacing w:lineRule="auto" w:line="276"/>
        <w:ind w:left="-142" w:right="-143"/>
        <w:jc w:val="both"/>
        <w:rPr>
          <w:rFonts w:ascii="Times New Roman" w:hAnsi="Times New Roman" w:eastAsia="Calibri"/>
          <w:sz w:val="22"/>
          <w:szCs w:val="22"/>
          <w:lang w:eastAsia="en-US"/>
        </w:rPr>
      </w:pPr>
      <w:r>
        <w:rPr>
          <w:rFonts w:eastAsia="Calibri" w:ascii="Times New Roman" w:hAnsi="Times New Roman"/>
          <w:sz w:val="22"/>
          <w:szCs w:val="22"/>
          <w:lang w:eastAsia="en-US"/>
        </w:rPr>
        <w:t>- СП 70.13330.2012 Несущие и ограждающие конструкции. Актуализированная редакция СНиП 3.03.01-87 (с изменением № 1);</w:t>
      </w:r>
    </w:p>
    <w:p>
      <w:pPr>
        <w:pStyle w:val="Normal"/>
        <w:widowControl/>
        <w:spacing w:lineRule="auto" w:line="276"/>
        <w:ind w:left="-142" w:right="-143"/>
        <w:jc w:val="both"/>
        <w:rPr>
          <w:rFonts w:ascii="Times New Roman" w:hAnsi="Times New Roman" w:eastAsia="Calibri"/>
          <w:sz w:val="22"/>
          <w:szCs w:val="22"/>
          <w:lang w:eastAsia="en-US"/>
        </w:rPr>
      </w:pPr>
      <w:r>
        <w:rPr>
          <w:rFonts w:eastAsia="Calibri" w:ascii="Times New Roman" w:hAnsi="Times New Roman"/>
          <w:sz w:val="22"/>
          <w:szCs w:val="22"/>
          <w:lang w:eastAsia="en-US"/>
        </w:rPr>
        <w:t>- СП 71.13330.2017 «СНиП 3.04.01-87 Изоляционные и отделочные покрытия»;</w:t>
      </w:r>
    </w:p>
    <w:p>
      <w:pPr>
        <w:pStyle w:val="Normal"/>
        <w:widowControl/>
        <w:spacing w:lineRule="auto" w:line="276"/>
        <w:ind w:left="-142" w:right="-143"/>
        <w:jc w:val="both"/>
        <w:rPr>
          <w:rFonts w:ascii="Times New Roman" w:hAnsi="Times New Roman" w:eastAsia="Calibri"/>
          <w:sz w:val="22"/>
          <w:szCs w:val="22"/>
          <w:lang w:eastAsia="en-US"/>
        </w:rPr>
      </w:pPr>
      <w:r>
        <w:rPr>
          <w:rFonts w:eastAsia="Calibri" w:ascii="Times New Roman" w:hAnsi="Times New Roman"/>
          <w:sz w:val="22"/>
          <w:szCs w:val="22"/>
          <w:lang w:eastAsia="en-US"/>
        </w:rPr>
        <w:t>- СП 16.13330.2017 «Стальные конструкции»;</w:t>
      </w:r>
    </w:p>
    <w:p>
      <w:pPr>
        <w:pStyle w:val="Normal"/>
        <w:widowControl/>
        <w:spacing w:lineRule="auto" w:line="276"/>
        <w:ind w:left="-142" w:right="-143"/>
        <w:jc w:val="both"/>
        <w:rPr>
          <w:rFonts w:ascii="Times New Roman" w:hAnsi="Times New Roman" w:eastAsia="Calibri"/>
          <w:sz w:val="22"/>
          <w:szCs w:val="22"/>
          <w:lang w:eastAsia="en-US"/>
        </w:rPr>
      </w:pPr>
      <w:r>
        <w:rPr>
          <w:rFonts w:eastAsia="Calibri" w:ascii="Times New Roman" w:hAnsi="Times New Roman"/>
          <w:sz w:val="22"/>
          <w:szCs w:val="22"/>
          <w:lang w:eastAsia="en-US"/>
        </w:rPr>
        <w:t>- СП 63.13330.2018 «Бетонные и железобетонные конструкции. Основные положения»;</w:t>
      </w:r>
    </w:p>
    <w:p>
      <w:pPr>
        <w:pStyle w:val="Normal"/>
        <w:widowControl/>
        <w:spacing w:lineRule="auto" w:line="276"/>
        <w:ind w:left="-142" w:right="-143"/>
        <w:jc w:val="both"/>
        <w:rPr>
          <w:rFonts w:ascii="Times New Roman" w:hAnsi="Times New Roman" w:eastAsia="Calibri"/>
          <w:sz w:val="22"/>
          <w:szCs w:val="22"/>
          <w:lang w:eastAsia="en-US"/>
        </w:rPr>
      </w:pPr>
      <w:r>
        <w:rPr>
          <w:rFonts w:eastAsia="Calibri" w:ascii="Times New Roman" w:hAnsi="Times New Roman"/>
          <w:sz w:val="22"/>
          <w:szCs w:val="22"/>
          <w:lang w:eastAsia="en-US"/>
        </w:rPr>
        <w:t xml:space="preserve">- И иные </w:t>
      </w:r>
      <w:r>
        <w:rPr>
          <w:rFonts w:eastAsia="SimSun" w:ascii="Times New Roma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pPr>
        <w:pStyle w:val="Normal"/>
        <w:tabs>
          <w:tab w:val="clear" w:pos="708"/>
          <w:tab w:val="center" w:pos="567" w:leader="none"/>
        </w:tabs>
        <w:spacing w:lineRule="auto" w:line="276"/>
        <w:ind w:left="-142" w:right="-143"/>
        <w:jc w:val="both"/>
        <w:rPr>
          <w:rFonts w:ascii="Times New Roman" w:hAnsi="Times New Roman" w:eastAsia="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pPr>
        <w:pStyle w:val="Normal"/>
        <w:spacing w:lineRule="auto" w:line="276"/>
        <w:ind w:left="-142" w:right="-143"/>
        <w:jc w:val="both"/>
        <w:rPr>
          <w:rFonts w:ascii="Times New Roman" w:hAnsi="Times New Roman"/>
          <w:b/>
          <w:sz w:val="22"/>
          <w:szCs w:val="22"/>
        </w:rPr>
      </w:pPr>
      <w:r>
        <w:rPr>
          <w:rFonts w:ascii="Times New Roman" w:hAnsi="Times New Roman"/>
          <w:sz w:val="22"/>
          <w:szCs w:val="22"/>
        </w:rPr>
        <w:t>8.1. Результатом работы являются выполненные работы по демонтажу аварийных балконов,</w:t>
      </w:r>
      <w:r>
        <w:rPr>
          <w:rFonts w:ascii="Times New Roman" w:hAnsi="Times New Roman"/>
          <w:bCs/>
          <w:sz w:val="22"/>
          <w:szCs w:val="22"/>
        </w:rPr>
        <w:t xml:space="preserve"> </w:t>
      </w:r>
      <w:r>
        <w:rPr>
          <w:rFonts w:ascii="Times New Roman" w:hAnsi="Times New Roman"/>
          <w:sz w:val="22"/>
          <w:szCs w:val="22"/>
        </w:rPr>
        <w:t>приведенный в нормативно-техническое состояние, отвечающий требованиям технической и санитарной безопасности.</w:t>
      </w:r>
    </w:p>
    <w:p>
      <w:pPr>
        <w:pStyle w:val="Normal"/>
        <w:tabs>
          <w:tab w:val="clear" w:pos="708"/>
          <w:tab w:val="center" w:pos="567" w:leader="none"/>
        </w:tabs>
        <w:spacing w:lineRule="auto" w:line="276"/>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pPr>
        <w:pStyle w:val="Normal"/>
        <w:spacing w:lineRule="auto" w:line="276"/>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fill="FFFFFF" w:val="clear"/>
        </w:rPr>
        <w:t>1-го экземпляра;</w:t>
      </w:r>
    </w:p>
    <w:p>
      <w:pPr>
        <w:pStyle w:val="NoSpacing"/>
        <w:spacing w:lineRule="auto" w:line="276"/>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fill="FFFFFF" w:val="clear"/>
        </w:rPr>
        <w:t>1-го экземпляра;</w:t>
      </w:r>
    </w:p>
    <w:p>
      <w:pPr>
        <w:pStyle w:val="NoSpacing"/>
        <w:spacing w:lineRule="auto" w:line="276"/>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pPr>
        <w:pStyle w:val="NoSpacing"/>
        <w:spacing w:lineRule="auto" w:line="276"/>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pPr>
        <w:pStyle w:val="NoSpacing"/>
        <w:spacing w:lineRule="auto" w:line="276"/>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pPr>
        <w:pStyle w:val="NoSpacing"/>
        <w:spacing w:lineRule="auto" w:line="276"/>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eastAsia="SimSun" w:ascii="Times New Roma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pPr>
        <w:pStyle w:val="Normal"/>
        <w:spacing w:lineRule="auto" w:line="276"/>
        <w:ind w:left="-142" w:right="-143"/>
        <w:jc w:val="both"/>
        <w:rPr>
          <w:rFonts w:ascii="Times New Roman" w:hAnsi="Times New Roman" w:eastAsia="SimSun"/>
          <w:bCs/>
          <w:sz w:val="22"/>
          <w:szCs w:val="22"/>
          <w:lang w:eastAsia="hi-IN" w:bidi="hi-IN"/>
        </w:rPr>
      </w:pPr>
      <w:r>
        <w:rPr>
          <w:rFonts w:eastAsia="SimSun" w:ascii="Times New Roma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pPr>
        <w:pStyle w:val="Normal"/>
        <w:spacing w:lineRule="auto" w:line="276"/>
        <w:ind w:left="-142" w:right="-143"/>
        <w:jc w:val="both"/>
        <w:rPr>
          <w:rFonts w:ascii="Times New Roman" w:hAnsi="Times New Roman" w:eastAsia="SimSun"/>
          <w:sz w:val="22"/>
          <w:szCs w:val="22"/>
          <w:lang w:eastAsia="hi-IN" w:bidi="hi-IN"/>
        </w:rPr>
      </w:pPr>
      <w:r>
        <w:rPr>
          <w:rFonts w:eastAsia="SimSun" w:ascii="Times New Roman" w:hAnsi="Times New Roman"/>
          <w:sz w:val="22"/>
          <w:szCs w:val="22"/>
          <w:lang w:eastAsia="hi-IN" w:bidi="hi-IN"/>
        </w:rPr>
        <w:t>9.8. В соответствии с условиями Договора гарантийный срок на выполненные работы – не менее 24 месяцев с даты подписания итогового Акта приёмки выполненных работ.</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lineRule="auto" w:line="240" w:before="0" w:after="0"/>
      <w:jc w:val="left"/>
    </w:pPr>
    <w:rPr>
      <w:rFonts w:ascii="Arial" w:hAnsi="Arial" w:eastAsia="Lucida Sans Unicode" w:cs="Times New Roman"/>
      <w:color w:val="auto"/>
      <w:kern w:val="0"/>
      <w:sz w:val="20"/>
      <w:szCs w:val="24"/>
      <w:lang w:val="ru-RU" w:eastAsia="ar-SA" w:bidi="ar-SA"/>
    </w:rPr>
  </w:style>
  <w:style w:type="paragraph" w:styleId="Heading1">
    <w:name w:val="Heading 1"/>
    <w:basedOn w:val="Normal"/>
    <w:link w:val="1"/>
    <w:uiPriority w:val="9"/>
    <w:qFormat/>
    <w:pPr>
      <w:widowControl/>
      <w:spacing w:beforeAutospacing="1" w:afterAutospacing="1"/>
      <w:outlineLvl w:val="0"/>
    </w:pPr>
    <w:rPr>
      <w:rFonts w:ascii="Times New Roman" w:hAnsi="Times New Roman" w:eastAsia="Times New Roman"/>
      <w:b/>
      <w:bCs/>
      <w:sz w:val="48"/>
      <w:szCs w:val="48"/>
      <w:lang w:eastAsia="ru-RU"/>
    </w:rPr>
  </w:style>
  <w:style w:type="paragraph" w:styleId="Heading2">
    <w:name w:val="Heading 2"/>
    <w:basedOn w:val="Normal"/>
    <w:next w:val="Normal"/>
    <w:link w:val="2"/>
    <w:uiPriority w:val="9"/>
    <w:unhideWhenUsed/>
    <w:qFormat/>
    <w:pPr>
      <w:keepNext w:val="true"/>
      <w:keepLines/>
      <w:spacing w:before="360" w:after="200"/>
      <w:outlineLvl w:val="1"/>
    </w:pPr>
    <w:rPr>
      <w:rFonts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eastAsia="Arial" w:cs="Arial"/>
      <w:b/>
      <w:bCs/>
      <w:sz w:val="24"/>
    </w:rPr>
  </w:style>
  <w:style w:type="paragraph" w:styleId="Heading6">
    <w:name w:val="Heading 6"/>
    <w:basedOn w:val="Normal"/>
    <w:next w:val="Normal"/>
    <w:link w:val="6"/>
    <w:uiPriority w:val="9"/>
    <w:unhideWhenUsed/>
    <w:qFormat/>
    <w:pPr>
      <w:keepNext w:val="true"/>
      <w:keepLines/>
      <w:spacing w:before="320" w:after="200"/>
      <w:outlineLvl w:val="5"/>
    </w:pPr>
    <w:rPr>
      <w:rFonts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eastAsia="Arial" w:cs="Arial"/>
      <w:i/>
      <w:iCs/>
      <w:sz w:val="21"/>
      <w:szCs w:val="21"/>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Style8"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9" w:customStyle="1">
    <w:name w:val="Нижний колонтитул Знак"/>
    <w:uiPriority w:val="99"/>
    <w:qFormat/>
    <w:rPr/>
  </w:style>
  <w:style w:type="character" w:styleId="Style10" w:customStyle="1">
    <w:name w:val="Текст сноски Знак"/>
    <w:uiPriority w:val="99"/>
    <w:qFormat/>
    <w:rPr>
      <w:sz w:val="18"/>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basedOn w:val="DefaultParagraphFont"/>
    <w:uiPriority w:val="99"/>
    <w:unhideWhenUsed/>
    <w:qFormat/>
    <w:rPr>
      <w:vertAlign w:val="superscript"/>
    </w:rPr>
  </w:style>
  <w:style w:type="character" w:styleId="Style11" w:customStyle="1">
    <w:name w:val="Текст концевой сноски Знак"/>
    <w:uiPriority w:val="99"/>
    <w:qFormat/>
    <w:rPr>
      <w:sz w:val="20"/>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basedOn w:val="DefaultParagraphFont"/>
    <w:uiPriority w:val="99"/>
    <w:semiHidden/>
    <w:unhideWhenUsed/>
    <w:qFormat/>
    <w:rPr>
      <w:vertAlign w:val="superscript"/>
    </w:rPr>
  </w:style>
  <w:style w:type="character" w:styleId="Style12" w:customStyle="1">
    <w:name w:val="Основной текст Знак"/>
    <w:basedOn w:val="DefaultParagraphFont"/>
    <w:qFormat/>
    <w:rPr>
      <w:rFonts w:ascii="Arial" w:hAnsi="Arial" w:eastAsia="Lucida Sans Unicode" w:cs="Times New Roman"/>
      <w:sz w:val="20"/>
      <w:szCs w:val="24"/>
      <w:lang w:eastAsia="ar-SA"/>
    </w:rPr>
  </w:style>
  <w:style w:type="character" w:styleId="Style13" w:customStyle="1">
    <w:name w:val="Абзац списка Знак"/>
    <w:basedOn w:val="DefaultParagraphFont"/>
    <w:link w:val="ListParagraph"/>
    <w:qFormat/>
    <w:rPr>
      <w:rFonts w:ascii="Calibri" w:hAnsi="Calibri" w:eastAsia="Calibri" w:cs="Times New Roman"/>
    </w:rPr>
  </w:style>
  <w:style w:type="character" w:styleId="InternetLink">
    <w:name w:val="Internet Link"/>
    <w:basedOn w:val="DefaultParagraphFont"/>
    <w:uiPriority w:val="99"/>
    <w:semiHidden/>
    <w:unhideWhenUsed/>
    <w:qFormat/>
    <w:rPr>
      <w:color w:val="0000FF"/>
      <w:u w:val="single"/>
    </w:rPr>
  </w:style>
  <w:style w:type="character" w:styleId="upper" w:customStyle="1">
    <w:name w:val="upper"/>
    <w:basedOn w:val="DefaultParagraphFont"/>
    <w:qFormat/>
    <w:rPr/>
  </w:style>
  <w:style w:type="character" w:styleId="1" w:customStyle="1">
    <w:name w:val="Заголовок 1 Знак"/>
    <w:basedOn w:val="DefaultParagraphFont"/>
    <w:uiPriority w:val="9"/>
    <w:qFormat/>
    <w:rPr>
      <w:rFonts w:ascii="Times New Roman" w:hAnsi="Times New Roman" w:eastAsia="Times New Roman" w:cs="Times New Roman"/>
      <w:b/>
      <w:bCs/>
      <w:sz w:val="48"/>
      <w:szCs w:val="48"/>
      <w:lang w:eastAsia="ru-RU"/>
    </w:rPr>
  </w:style>
  <w:style w:type="character" w:styleId="Style14" w:customStyle="1">
    <w:name w:val="Без интервала Знак"/>
    <w:link w:val="NoSpacing"/>
    <w:uiPriority w:val="1"/>
    <w:qFormat/>
    <w:rPr>
      <w:rFonts w:ascii="Times New Roman" w:hAnsi="Times New Roman" w:eastAsia="Arial" w:cs="Times New Roman"/>
      <w:sz w:val="24"/>
      <w:szCs w:val="24"/>
      <w:lang w:eastAsia="ar-SA"/>
    </w:rPr>
  </w:style>
  <w:style w:type="character" w:styleId="1327" w:customStyle="1">
    <w:name w:val="1327"/>
    <w:basedOn w:val="DefaultParagraphFont"/>
    <w:qFormat/>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2"/>
    <w:pPr>
      <w:spacing w:before="0" w:after="120"/>
    </w:pPr>
    <w:rPr/>
  </w:style>
  <w:style w:type="paragraph" w:styleId="List">
    <w:name w:val="List"/>
    <w:basedOn w:val="BodyText"/>
    <w:pPr/>
    <w:rPr>
      <w:rFonts w:cs="Arial"/>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cs="Arial"/>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7">
    <w:name w:val="Колонтитул"/>
    <w:basedOn w:val="Normal"/>
    <w:qFormat/>
    <w:pPr/>
    <w:rPr/>
  </w:style>
  <w:style w:type="paragraph" w:styleId="Header">
    <w:name w:val="Header"/>
    <w:basedOn w:val="Normal"/>
    <w:link w:val="Style8"/>
    <w:uiPriority w:val="99"/>
    <w:unhideWhenUsed/>
    <w:pPr>
      <w:tabs>
        <w:tab w:val="clear" w:pos="708"/>
        <w:tab w:val="center" w:pos="7143" w:leader="none"/>
        <w:tab w:val="right" w:pos="14287" w:leader="none"/>
      </w:tabs>
    </w:pPr>
    <w:rPr/>
  </w:style>
  <w:style w:type="paragraph" w:styleId="Footer">
    <w:name w:val="Footer"/>
    <w:basedOn w:val="Normal"/>
    <w:link w:val="Style9"/>
    <w:uiPriority w:val="99"/>
    <w:unhideWhenUsed/>
    <w:pPr>
      <w:tabs>
        <w:tab w:val="clear" w:pos="708"/>
        <w:tab w:val="center" w:pos="7143" w:leader="none"/>
        <w:tab w:val="right" w:pos="14287" w:leader="none"/>
      </w:tabs>
    </w:pPr>
    <w:rPr/>
  </w:style>
  <w:style w:type="paragraph" w:styleId="FootnoteText">
    <w:name w:val="Footnote Text"/>
    <w:basedOn w:val="Normal"/>
    <w:link w:val="Style10"/>
    <w:uiPriority w:val="99"/>
    <w:semiHidden/>
    <w:unhideWhenUsed/>
    <w:pPr>
      <w:spacing w:before="0" w:after="40"/>
    </w:pPr>
    <w:rPr>
      <w:sz w:val="18"/>
    </w:rPr>
  </w:style>
  <w:style w:type="paragraph" w:styleId="EndnoteText">
    <w:name w:val="Endnote Text"/>
    <w:basedOn w:val="Normal"/>
    <w:link w:val="Style11"/>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5"/>
    <w:pPr/>
    <w:rPr/>
  </w:style>
  <w:style w:type="paragraph" w:styleId="TOCHeading">
    <w:name w:val="TOC Heading"/>
    <w:uiPriority w:val="39"/>
    <w:unhideWhenUsed/>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rPr/>
  </w:style>
  <w:style w:type="paragraph" w:styleId="NoSpacing">
    <w:name w:val="No Spacing"/>
    <w:link w:val="Style14"/>
    <w:uiPriority w:val="1"/>
    <w:qFormat/>
    <w:pPr>
      <w:widowControl/>
      <w:suppressAutoHyphens w:val="true"/>
      <w:bidi w:val="0"/>
      <w:spacing w:lineRule="auto" w:line="240" w:before="0" w:after="0"/>
      <w:jc w:val="left"/>
    </w:pPr>
    <w:rPr>
      <w:rFonts w:ascii="Times New Roman" w:hAnsi="Times New Roman" w:eastAsia="Arial" w:cs="Times New Roman"/>
      <w:color w:val="auto"/>
      <w:kern w:val="0"/>
      <w:sz w:val="24"/>
      <w:szCs w:val="24"/>
      <w:lang w:val="ru-RU" w:eastAsia="ar-SA" w:bidi="ar-SA"/>
    </w:rPr>
  </w:style>
  <w:style w:type="paragraph" w:styleId="ListParagraph">
    <w:name w:val="List Paragraph"/>
    <w:basedOn w:val="Normal"/>
    <w:link w:val="Style13"/>
    <w:uiPriority w:val="34"/>
    <w:qFormat/>
    <w:pPr>
      <w:widowControl/>
      <w:spacing w:lineRule="auto" w:line="276" w:before="0" w:after="200"/>
      <w:ind w:left="720"/>
      <w:contextualSpacing/>
    </w:pPr>
    <w:rPr>
      <w:rFonts w:ascii="Calibri" w:hAnsi="Calibri" w:eastAsia="Calibri"/>
      <w:sz w:val="22"/>
      <w:szCs w:val="22"/>
      <w:lang w:eastAsia="en-US"/>
    </w:rPr>
  </w:style>
  <w:style w:type="paragraph" w:styleId="s13" w:customStyle="1">
    <w:name w:val="s_13"/>
    <w:basedOn w:val="Normal"/>
    <w:qFormat/>
    <w:pPr>
      <w:widowControl/>
      <w:ind w:firstLine="720"/>
    </w:pPr>
    <w:rPr>
      <w:rFonts w:ascii="Times New Roman" w:hAnsi="Times New Roman" w:eastAsia="Times New Roman"/>
      <w:szCs w:val="20"/>
      <w:lang w:eastAsia="ru-RU"/>
    </w:rPr>
  </w:style>
  <w:style w:type="paragraph" w:styleId="docdata" w:customStyle="1">
    <w:name w:val="docdata"/>
    <w:basedOn w:val="Normal"/>
    <w:qFormat/>
    <w:pPr>
      <w:widowControl/>
      <w:spacing w:beforeAutospacing="1" w:afterAutospacing="1"/>
    </w:pPr>
    <w:rPr>
      <w:rFonts w:ascii="Times New Roman" w:hAnsi="Times New Roman" w:eastAsia="Times New Roman"/>
      <w:sz w:val="24"/>
      <w:lang w:eastAsia="ru-RU"/>
    </w:rPr>
  </w:style>
  <w:style w:type="paragraph" w:styleId="headertext" w:customStyle="1">
    <w:name w:val="headertext"/>
    <w:basedOn w:val="Normal"/>
    <w:qFormat/>
    <w:pPr>
      <w:widowControl/>
      <w:spacing w:beforeAutospacing="1" w:afterAutospacing="1"/>
    </w:pPr>
    <w:rPr>
      <w:rFonts w:ascii="Times New Roman" w:hAnsi="Times New Roman" w:eastAsia="Times New Roman"/>
      <w:sz w:val="24"/>
      <w:lang w:eastAsia="ru-RU"/>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pPr>
      <w:spacing w:after="0" w:line="240" w:lineRule="auto"/>
    </w:pPr>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pPr>
      <w:spacing w:after="0" w:line="240" w:lineRule="auto"/>
    </w:pPr>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0" w:space="0"/>
          <w:left w:val="none" w:color="000000" w:sz="0" w:space="0"/>
          <w:bottom w:val="single" w:color="A6BFDD" w:themeColor="accent1" w:sz="4" w:space="0"/>
          <w:right w:val="none" w:color="000000"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1" w:themeTint="80" w:themeShade="95"/>
        <w:sz w:val="22"/>
      </w:rPr>
      <w:tblPr/>
      <w:tcPr>
        <w:tcBorders>
          <w:top w:val="none" w:color="000000" w:sz="0" w:space="0"/>
          <w:left w:val="none" w:color="000000" w:sz="0" w:space="0"/>
          <w:bottom w:val="none" w:color="000000"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0" w:space="0"/>
          <w:left w:val="single" w:color="A6BFDD" w:themeColor="accent1" w:sz="4" w:space="0"/>
          <w:bottom w:val="none" w:color="000000" w:sz="0" w:space="0"/>
          <w:right w:val="none" w:color="000000"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0" w:space="0"/>
          <w:left w:val="none" w:color="000000" w:sz="0" w:space="0"/>
          <w:bottom w:val="single" w:color="D99695" w:themeColor="accent2" w:sz="4" w:space="0"/>
          <w:right w:val="none" w:color="000000"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0" w:space="0"/>
          <w:left w:val="single" w:color="D99695" w:themeColor="accent2" w:sz="4" w:space="0"/>
          <w:bottom w:val="none" w:color="000000" w:sz="0" w:space="0"/>
          <w:right w:val="none" w:color="000000"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0" w:space="0"/>
          <w:left w:val="none" w:color="000000" w:sz="0" w:space="0"/>
          <w:bottom w:val="single" w:color="9ABB59" w:themeColor="accent3" w:sz="4" w:space="0"/>
          <w:right w:val="none" w:color="000000"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3" w:themeTint="fe" w:themeShade="95"/>
        <w:sz w:val="22"/>
      </w:rPr>
      <w:tblPr/>
      <w:tcPr>
        <w:tcBorders>
          <w:top w:val="none" w:color="000000" w:sz="0" w:space="0"/>
          <w:left w:val="none" w:color="000000" w:sz="0" w:space="0"/>
          <w:bottom w:val="none" w:color="000000"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0" w:space="0"/>
          <w:left w:val="single" w:color="9ABB59" w:themeColor="accent3" w:sz="4" w:space="0"/>
          <w:bottom w:val="none" w:color="000000" w:sz="0" w:space="0"/>
          <w:right w:val="none" w:color="000000"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0" w:space="0"/>
          <w:left w:val="none" w:color="000000" w:sz="0" w:space="0"/>
          <w:bottom w:val="single" w:color="B2A1C6" w:themeColor="accent4" w:sz="4" w:space="0"/>
          <w:right w:val="none" w:color="000000"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0" w:space="0"/>
          <w:left w:val="single" w:color="B2A1C6" w:themeColor="accent4" w:sz="4" w:space="0"/>
          <w:bottom w:val="none" w:color="000000" w:sz="0" w:space="0"/>
          <w:right w:val="none" w:color="000000"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0" w:space="0"/>
          <w:left w:val="none" w:color="000000" w:sz="0" w:space="0"/>
          <w:bottom w:val="single" w:color="99D0DE" w:themeColor="accent5" w:sz="4" w:space="0"/>
          <w:right w:val="none" w:color="000000"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5" w:themeShade="95"/>
        <w:sz w:val="22"/>
      </w:rPr>
      <w:tblPr/>
      <w:tcPr>
        <w:tcBorders>
          <w:top w:val="none" w:color="000000" w:sz="0" w:space="0"/>
          <w:left w:val="none" w:color="000000" w:sz="0" w:space="0"/>
          <w:bottom w:val="none" w:color="000000" w:sz="0"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0" w:space="0"/>
          <w:left w:val="single" w:color="99D0DE" w:themeColor="accent5" w:sz="4" w:space="0"/>
          <w:bottom w:val="none" w:color="000000" w:sz="0" w:space="0"/>
          <w:right w:val="none" w:color="000000"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0" w:space="0"/>
          <w:left w:val="none" w:color="000000" w:sz="0" w:space="0"/>
          <w:bottom w:val="single" w:color="FAC396" w:themeColor="accent6" w:sz="4" w:space="0"/>
          <w:right w:val="none" w:color="000000"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6" w:themeShade="95"/>
        <w:sz w:val="22"/>
      </w:rPr>
      <w:tblPr/>
      <w:tcPr>
        <w:tcBorders>
          <w:top w:val="none" w:color="000000" w:sz="0" w:space="0"/>
          <w:left w:val="none" w:color="000000" w:sz="0" w:space="0"/>
          <w:bottom w:val="none" w:color="000000" w:sz="0"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0" w:space="0"/>
          <w:left w:val="single" w:color="FAC396" w:themeColor="accent6" w:sz="4" w:space="0"/>
          <w:bottom w:val="none" w:color="000000" w:sz="0" w:space="0"/>
          <w:right w:val="none" w:color="000000"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pPr>
      <w:spacing w:after="0" w:line="240" w:lineRule="auto"/>
    </w:pPr>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0" w:space="0"/>
          <w:left w:val="none" w:color="000000" w:sz="0" w:space="0"/>
          <w:bottom w:val="single" w:color="4F81BD" w:themeColor="accent1" w:sz="4" w:space="0"/>
          <w:right w:val="none" w:color="000000"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1" w:themeShade="95"/>
        <w:sz w:val="22"/>
      </w:rPr>
      <w:tblPr/>
      <w:tcPr>
        <w:tcBorders>
          <w:top w:val="none" w:color="000000" w:sz="0" w:space="0"/>
          <w:left w:val="none" w:color="000000" w:sz="0" w:space="0"/>
          <w:bottom w:val="none" w:color="000000" w:sz="0"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0" w:space="0"/>
          <w:left w:val="single" w:color="4F81BD" w:themeColor="accent1" w:sz="4" w:space="0"/>
          <w:bottom w:val="none" w:color="000000" w:sz="0" w:space="0"/>
          <w:right w:val="none" w:color="000000"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0" w:space="0"/>
          <w:left w:val="none" w:color="000000" w:sz="0" w:space="0"/>
          <w:bottom w:val="single" w:color="D99695" w:themeColor="accent2" w:sz="4" w:space="0"/>
          <w:right w:val="none" w:color="000000"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0" w:space="0"/>
          <w:left w:val="single" w:color="D99695" w:themeColor="accent2" w:sz="4" w:space="0"/>
          <w:bottom w:val="none" w:color="000000" w:sz="0" w:space="0"/>
          <w:right w:val="none" w:color="000000"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0" w:space="0"/>
          <w:left w:val="none" w:color="000000" w:sz="0" w:space="0"/>
          <w:bottom w:val="single" w:color="C3D69B" w:themeColor="accent3" w:sz="4" w:space="0"/>
          <w:right w:val="none" w:color="000000"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3" w:themeTint="98" w:themeShade="95"/>
        <w:sz w:val="22"/>
      </w:rPr>
      <w:tblPr/>
      <w:tcPr>
        <w:tcBorders>
          <w:top w:val="none" w:color="000000" w:sz="0" w:space="0"/>
          <w:left w:val="none" w:color="000000" w:sz="0" w:space="0"/>
          <w:bottom w:val="none" w:color="000000"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0" w:space="0"/>
          <w:left w:val="single" w:color="C3D69B" w:themeColor="accent3" w:sz="4" w:space="0"/>
          <w:bottom w:val="none" w:color="000000" w:sz="0" w:space="0"/>
          <w:right w:val="none" w:color="000000"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0" w:space="0"/>
          <w:left w:val="none" w:color="000000" w:sz="0" w:space="0"/>
          <w:bottom w:val="single" w:color="B2A1C6" w:themeColor="accent4" w:sz="4" w:space="0"/>
          <w:right w:val="none" w:color="000000"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0" w:space="0"/>
          <w:left w:val="single" w:color="B2A1C6" w:themeColor="accent4" w:sz="4" w:space="0"/>
          <w:bottom w:val="none" w:color="000000" w:sz="0" w:space="0"/>
          <w:right w:val="none" w:color="000000"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0" w:space="0"/>
          <w:left w:val="none" w:color="000000" w:sz="0" w:space="0"/>
          <w:bottom w:val="single" w:color="92CCDC" w:themeColor="accent5" w:sz="4" w:space="0"/>
          <w:right w:val="none" w:color="000000"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5" w:themeTint="9a" w:themeShade="95"/>
        <w:sz w:val="22"/>
      </w:rPr>
      <w:tblPr/>
      <w:tcPr>
        <w:tcBorders>
          <w:top w:val="none" w:color="000000" w:sz="0" w:space="0"/>
          <w:left w:val="none" w:color="000000" w:sz="0" w:space="0"/>
          <w:bottom w:val="none" w:color="000000"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0" w:space="0"/>
          <w:left w:val="single" w:color="92CCDC" w:themeColor="accent5" w:sz="4" w:space="0"/>
          <w:bottom w:val="none" w:color="000000" w:sz="0" w:space="0"/>
          <w:right w:val="none" w:color="000000"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0" w:space="0"/>
          <w:left w:val="none" w:color="000000" w:sz="0" w:space="0"/>
          <w:bottom w:val="single" w:color="FAC090" w:themeColor="accent6" w:sz="4" w:space="0"/>
          <w:right w:val="none" w:color="000000"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0" w:space="0"/>
          <w:bottom w:val="none" w:color="000000" w:sz="0" w:space="0"/>
          <w:right w:val="none" w:color="000000" w:sz="0" w:space="0"/>
        </w:tcBorders>
        <w:shd w:val="clear" w:color="FFFFFF" w:fill="FFFFFF" w:themeFill="light1"/>
      </w:tcPr>
    </w:tblStylePr>
    <w:tblStylePr w:type="firstCol">
      <w:pPr>
        <w:jc w:val="right"/>
      </w:pPr>
      <w:rPr>
        <w:i/>
        <w:color w:themeColor="accent6" w:themeTint="98" w:themeShade="95"/>
        <w:sz w:val="22"/>
      </w:rPr>
      <w:tblPr/>
      <w:tcPr>
        <w:tcBorders>
          <w:top w:val="none" w:color="000000" w:sz="0" w:space="0"/>
          <w:left w:val="none" w:color="000000" w:sz="0" w:space="0"/>
          <w:bottom w:val="none" w:color="000000"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0" w:space="0"/>
          <w:left w:val="single" w:color="FAC090" w:themeColor="accent6" w:sz="4" w:space="0"/>
          <w:bottom w:val="none" w:color="000000" w:sz="0" w:space="0"/>
          <w:right w:val="none" w:color="000000"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pPr>
      <w:spacing w:after="0" w:line="240" w:lineRule="auto"/>
    </w:pPr>
    <w:rPr>
      <w:lang w:eastAsia="ru-RU"/>
      <w:sz w:val="20"/>
      <w:szCs w:val="20"/>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pPr>
      <w:spacing w:after="0" w:line="240" w:lineRule="auto"/>
    </w:pPr>
    <w:rPr>
      <w:lang w:eastAsia="ru-RU"/>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pPr>
      <w:spacing w:after="0" w:line="240" w:lineRule="auto"/>
    </w:pPr>
    <w:rPr>
      <w:lang w:eastAsia="ru-RU"/>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pPr>
      <w:spacing w:after="0" w:line="240" w:lineRule="auto"/>
    </w:pPr>
    <w:rPr>
      <w:lang w:eastAsia="ru-RU"/>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pPr>
      <w:spacing w:after="0" w:line="240" w:lineRule="auto"/>
    </w:pPr>
    <w:rPr>
      <w:lang w:eastAsia="ru-RU"/>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pPr>
      <w:spacing w:after="0" w:line="240" w:lineRule="auto"/>
    </w:pPr>
    <w:rPr>
      <w:lang w:eastAsia="ru-RU"/>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pPr>
      <w:spacing w:after="0" w:line="240" w:lineRule="auto"/>
    </w:pPr>
    <w:rPr>
      <w:lang w:eastAsia="ru-RU"/>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d">
    <w:name w:val="Table Grid"/>
    <w:basedOn w:val="a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45</TotalTime>
  <Application>LibreOffice/24.2.4.2$Windows_X86_64 LibreOffice_project/51a6219feb6075d9a4c46691dcfe0cd9c4fff3c2</Application>
  <AppVersion>15.0000</AppVersion>
  <Pages>4</Pages>
  <Words>1976</Words>
  <Characters>11268</Characters>
  <CharactersWithSpaces>13218</CharactersWithSpaces>
  <Paragraphs>26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2026-07-23T04:12:00Z</dcterms:created>
  <dc:creator>Admin</dc:creator>
  <dc:description>DOC-MARKER-a_-ZjgAlb82sQ_l27wbYOw</dc:description>
  <dc:language>ru-RU</dc:language>
  <cp:lastModifiedBy/>
  <dcterms:modified xsi:type="dcterms:W3CDTF">2026-07-24T14:34:19Z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