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rPr>
          <w:color w:val="000000"/>
        </w:rPr>
      </w:pPr>
      <w:r>
        <w:rPr>
          <w:color w:val="000000"/>
        </w:rPr>
        <w:t xml:space="preserve">Техническое задание</w:t>
      </w:r>
      <w:r>
        <w:rPr>
          <w:color w:val="000000"/>
        </w:rPr>
      </w:r>
    </w:p>
    <w:p>
      <w:pPr>
        <w:jc w:val="center"/>
        <w:keepNext/>
        <w:rPr>
          <w:color w:val="000000"/>
        </w:rPr>
      </w:pPr>
      <w:r>
        <w:rPr>
          <w:color w:val="000000"/>
        </w:rPr>
        <w:t xml:space="preserve">на поставку угля для нужд </w:t>
      </w:r>
      <w:r>
        <w:rPr>
          <w:color w:val="000000"/>
        </w:rPr>
        <w:t xml:space="preserve">ООО "ТВСО"</w:t>
      </w:r>
      <w:r>
        <w:rPr>
          <w:color w:val="000000"/>
        </w:rPr>
      </w:r>
    </w:p>
    <w:p>
      <w:pPr>
        <w:ind w:firstLine="709"/>
        <w:jc w:val="both"/>
        <w:rPr>
          <w:rFonts w:eastAsia="SimSun"/>
          <w:i/>
          <w:iCs/>
          <w:color w:val="000000"/>
          <w:sz w:val="22"/>
          <w:szCs w:val="22"/>
          <w:lang w:eastAsia="ru-RU" w:bidi="ru-RU"/>
        </w:rPr>
      </w:pPr>
      <w:r>
        <w:rPr>
          <w:rFonts w:eastAsia="SimSun"/>
          <w:i/>
          <w:iCs/>
          <w:color w:val="000000"/>
          <w:sz w:val="22"/>
          <w:szCs w:val="22"/>
          <w:lang w:eastAsia="ru-RU" w:bidi="ru-RU"/>
        </w:rPr>
      </w:r>
      <w:r>
        <w:rPr>
          <w:rFonts w:eastAsia="SimSun"/>
          <w:i/>
          <w:iCs/>
          <w:color w:val="000000"/>
          <w:sz w:val="22"/>
          <w:szCs w:val="22"/>
          <w:lang w:eastAsia="ru-RU" w:bidi="ru-RU"/>
        </w:rPr>
      </w:r>
    </w:p>
    <w:tbl>
      <w:tblPr>
        <w:tblStyle w:val="622"/>
        <w:tblW w:w="98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77"/>
        <w:gridCol w:w="1277"/>
        <w:gridCol w:w="3137"/>
        <w:gridCol w:w="1419"/>
        <w:gridCol w:w="1702"/>
        <w:gridCol w:w="1843"/>
      </w:tblGrid>
      <w:tr>
        <w:tblPrEx/>
        <w:trPr>
          <w:jc w:val="center"/>
          <w:trHeight w:val="2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7" w:type="dxa"/>
            <w:vMerge w:val="restart"/>
            <w:textDirection w:val="lrTb"/>
            <w:noWrap w:val="false"/>
          </w:tcPr>
          <w:p>
            <w:pPr>
              <w:ind w:left="-567" w:firstLine="567"/>
              <w:jc w:val="both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№ п/п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ind w:left="-567" w:firstLine="567"/>
              <w:jc w:val="both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Код ОКПД2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137" w:type="dxa"/>
            <w:vMerge w:val="restart"/>
            <w:textDirection w:val="lrTb"/>
            <w:noWrap w:val="false"/>
          </w:tcPr>
          <w:p>
            <w:pPr>
              <w:ind w:left="-567" w:firstLine="567"/>
              <w:jc w:val="center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Наименование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-567" w:firstLine="567"/>
              <w:jc w:val="center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Национальный режим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</w:tr>
      <w:tr>
        <w:tblPrEx/>
        <w:trPr>
          <w:jc w:val="center"/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r>
            <w: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r>
            <w: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1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pPr>
            <w: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r>
            <w:r>
              <w:rPr>
                <w:rFonts w:cs="Mangal"/>
                <w:color w:val="000000"/>
                <w:sz w:val="20"/>
                <w:szCs w:val="20"/>
                <w:lang w:eastAsia="en-US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textDirection w:val="lrTb"/>
            <w:noWrap w:val="false"/>
          </w:tcPr>
          <w:p>
            <w:pPr>
              <w:ind w:left="-567" w:firstLine="567"/>
              <w:jc w:val="center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1875 (Запрет)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ind w:left="-567" w:firstLine="567"/>
              <w:jc w:val="center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1875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  <w:p>
            <w:pPr>
              <w:ind w:left="-567" w:firstLine="567"/>
              <w:jc w:val="center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(Ограничение)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ind w:left="-567" w:firstLine="567"/>
              <w:jc w:val="center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1875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  <w:p>
            <w:pPr>
              <w:ind w:left="-567" w:firstLine="567"/>
              <w:jc w:val="center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(Преимущество)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</w:tr>
      <w:tr>
        <w:tblPrEx/>
        <w:trPr>
          <w:jc w:val="center"/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7" w:type="dxa"/>
            <w:textDirection w:val="lrTb"/>
            <w:noWrap w:val="false"/>
          </w:tcPr>
          <w:p>
            <w:pPr>
              <w:ind w:left="-567" w:firstLine="567"/>
              <w:jc w:val="both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14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ind w:left="-567" w:firstLine="567"/>
              <w:jc w:val="both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05.10.10.131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tcW w:w="3137" w:type="dxa"/>
            <w:textDirection w:val="lrTb"/>
            <w:noWrap w:val="false"/>
          </w:tcPr>
          <w:p>
            <w:pPr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  <w:t xml:space="preserve">Уголь каменный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textDirection w:val="lrTb"/>
            <w:noWrap w:val="false"/>
          </w:tcPr>
          <w:p>
            <w:pPr>
              <w:ind w:left="-567" w:firstLine="567"/>
              <w:jc w:val="both"/>
              <w:spacing w:line="256" w:lineRule="auto"/>
              <w:rPr>
                <w:rFonts w:cs="Mangal"/>
                <w:color w:val="00000a"/>
                <w:sz w:val="20"/>
                <w:szCs w:val="20"/>
                <w:lang w:val="en-US" w:eastAsia="en-US" w:bidi="hi-IN"/>
              </w:rPr>
            </w:pPr>
            <w:r>
              <w:rPr>
                <w:rFonts w:cs="Mangal"/>
                <w:color w:val="00000a"/>
                <w:sz w:val="20"/>
                <w:szCs w:val="20"/>
                <w:lang w:val="en-US" w:eastAsia="en-US" w:bidi="hi-IN"/>
              </w:rPr>
            </w:r>
            <w:r>
              <w:rPr>
                <w:rFonts w:cs="Mangal"/>
                <w:color w:val="00000a"/>
                <w:sz w:val="20"/>
                <w:szCs w:val="20"/>
                <w:lang w:val="en-US" w:eastAsia="en-US" w:bidi="hi-I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ind w:left="-567" w:firstLine="567"/>
              <w:jc w:val="both"/>
              <w:spacing w:line="256" w:lineRule="auto"/>
              <w:rPr>
                <w:rFonts w:ascii="Segoe UI Symbol" w:hAnsi="Segoe UI Symbol" w:cs="Segoe UI Symbo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ascii="Segoe UI Symbol" w:hAnsi="Segoe UI Symbol" w:cs="Segoe UI Symbol"/>
                <w:color w:val="00000a"/>
                <w:sz w:val="20"/>
                <w:szCs w:val="20"/>
                <w:lang w:eastAsia="en-US" w:bidi="hi-IN"/>
              </w:rPr>
            </w:r>
            <w:r>
              <w:rPr>
                <w:rFonts w:ascii="Segoe UI Symbol" w:hAnsi="Segoe UI Symbol" w:cs="Segoe UI Symbol"/>
                <w:color w:val="00000a"/>
                <w:sz w:val="20"/>
                <w:szCs w:val="20"/>
                <w:lang w:eastAsia="en-US" w:bidi="hi-I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ind w:left="-567" w:firstLine="567"/>
              <w:jc w:val="both"/>
              <w:spacing w:line="256" w:lineRule="auto"/>
              <w:rPr>
                <w:rFonts w:cs="Mangal"/>
                <w:color w:val="00000a"/>
                <w:sz w:val="20"/>
                <w:szCs w:val="20"/>
                <w:lang w:eastAsia="en-US" w:bidi="hi-IN"/>
              </w:rPr>
            </w:pPr>
            <w:r>
              <w:rPr>
                <w:rFonts w:ascii="Segoe UI Symbol" w:hAnsi="Segoe UI Symbol" w:cs="Segoe UI Symbol"/>
                <w:color w:val="00000a"/>
                <w:sz w:val="20"/>
                <w:szCs w:val="20"/>
                <w:lang w:eastAsia="en-US" w:bidi="hi-IN"/>
              </w:rPr>
              <w:t xml:space="preserve">✓</w:t>
            </w:r>
            <w:r>
              <w:rPr>
                <w:rFonts w:cs="Mangal"/>
                <w:color w:val="00000a"/>
                <w:sz w:val="20"/>
                <w:szCs w:val="20"/>
                <w:lang w:eastAsia="en-US" w:bidi="hi-IN"/>
              </w:rPr>
            </w:r>
          </w:p>
        </w:tc>
      </w:tr>
    </w:tbl>
    <w:p>
      <w:pPr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 xml:space="preserve">1. Объект закупки:</w:t>
      </w:r>
      <w:r>
        <w:rPr>
          <w:b/>
          <w:bCs/>
          <w:sz w:val="22"/>
          <w:szCs w:val="22"/>
          <w:lang w:eastAsia="ar-SA"/>
        </w:rPr>
      </w:r>
    </w:p>
    <w:tbl>
      <w:tblPr>
        <w:tblW w:w="1006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6379"/>
        <w:gridCol w:w="1134"/>
      </w:tblGrid>
      <w:tr>
        <w:tblPrEx/>
        <w:trPr>
          <w:trHeight w:val="565"/>
        </w:trPr>
        <w:tc>
          <w:tcPr>
            <w:tcW w:w="709" w:type="dxa"/>
            <w:textDirection w:val="lrTb"/>
            <w:noWrap w:val="false"/>
          </w:tcPr>
          <w:p>
            <w:pPr>
              <w:keepNext/>
              <w:spacing w:after="60"/>
              <w:tabs>
                <w:tab w:val="left" w:pos="1701" w:leader="none"/>
              </w:tabs>
              <w:rPr>
                <w:b/>
                <w:bCs/>
                <w:iCs/>
                <w:sz w:val="22"/>
                <w:szCs w:val="22"/>
                <w:lang w:eastAsia="en-US"/>
              </w:rPr>
              <w:outlineLvl w:val="0"/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 xml:space="preserve">№</w:t>
            </w:r>
            <w:r>
              <w:rPr>
                <w:b/>
                <w:bCs/>
                <w:iCs/>
                <w:sz w:val="22"/>
                <w:szCs w:val="22"/>
                <w:lang w:eastAsia="en-US"/>
              </w:rPr>
            </w:r>
          </w:p>
          <w:p>
            <w:pPr>
              <w:keepNext/>
              <w:spacing w:after="60"/>
              <w:tabs>
                <w:tab w:val="left" w:pos="1701" w:leader="none"/>
              </w:tabs>
              <w:rPr>
                <w:b/>
                <w:bCs/>
                <w:iCs/>
                <w:sz w:val="22"/>
                <w:szCs w:val="22"/>
                <w:lang w:eastAsia="en-US"/>
              </w:rPr>
              <w:outlineLvl w:val="0"/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 xml:space="preserve">п/п</w:t>
            </w:r>
            <w:r>
              <w:rPr>
                <w:b/>
                <w:bCs/>
                <w:iCs/>
                <w:sz w:val="22"/>
                <w:szCs w:val="22"/>
                <w:lang w:eastAsia="en-US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Наименование товара</w:t>
            </w:r>
            <w:r>
              <w:rPr>
                <w:b/>
                <w:bCs/>
                <w:iCs/>
                <w:sz w:val="22"/>
                <w:szCs w:val="22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Наименование характеристики товара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1701" w:leader="none"/>
              </w:tabs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Кол-во, тонн</w:t>
            </w:r>
            <w:r>
              <w:rPr>
                <w:b/>
                <w:sz w:val="22"/>
                <w:szCs w:val="22"/>
                <w:lang w:eastAsia="en-US"/>
              </w:rPr>
            </w:r>
          </w:p>
        </w:tc>
      </w:tr>
      <w:tr>
        <w:tblPrEx/>
        <w:trPr>
          <w:trHeight w:val="4505"/>
        </w:trPr>
        <w:tc>
          <w:tcPr>
            <w:tcW w:w="709" w:type="dxa"/>
            <w:textDirection w:val="lrTb"/>
            <w:noWrap w:val="false"/>
          </w:tcPr>
          <w:p>
            <w:pPr>
              <w:tabs>
                <w:tab w:val="left" w:pos="1701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Уголь каменный</w:t>
            </w:r>
            <w:r>
              <w:rPr>
                <w:sz w:val="22"/>
                <w:szCs w:val="22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Соответствует требованиям: ГОСТ Р 59245-2020 Угли бурые, каменные и антрацит. Классификация по размеру кусков» ГОСТ 25543-2013 «Угли бурые, каменные и антрациты. Классификация по генетическим и технологическим параметрам».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 ДР-</w:t>
            </w:r>
            <w:r>
              <w:rPr>
                <w:sz w:val="22"/>
                <w:szCs w:val="22"/>
              </w:rPr>
              <w:t xml:space="preserve">длинопламенный</w:t>
            </w:r>
            <w:r>
              <w:rPr>
                <w:sz w:val="22"/>
                <w:szCs w:val="22"/>
              </w:rPr>
              <w:t xml:space="preserve">, рядовой, </w:t>
            </w:r>
            <w:r>
              <w:rPr>
                <w:sz w:val="22"/>
                <w:szCs w:val="22"/>
              </w:rPr>
              <w:t xml:space="preserve">необогощенный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неокисленный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низшая теплота сгорания – не менее 5100 ккал/кг;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зольность не более </w:t>
            </w:r>
            <w:r>
              <w:rPr>
                <w:color w:val="000000"/>
                <w:sz w:val="22"/>
                <w:szCs w:val="22"/>
              </w:rPr>
              <w:t xml:space="preserve">18</w:t>
            </w:r>
            <w:r>
              <w:rPr>
                <w:color w:val="000000"/>
                <w:sz w:val="22"/>
                <w:szCs w:val="22"/>
              </w:rPr>
              <w:t xml:space="preserve">%;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массовая доля общей серы – не более 1 %;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влажность – не более 18,0 %;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массовая доля хлора – не более 0,60 %;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массовая доля мышьяка – не более 0,02 %;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фракция не менее 0 не более 300 мм.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 xml:space="preserve">выход летучих веществ</w:t>
            </w:r>
            <w:r>
              <w:rPr>
                <w:color w:val="000000"/>
                <w:sz w:val="22"/>
                <w:szCs w:val="22"/>
              </w:rPr>
              <w:t xml:space="preserve"> не более </w:t>
            </w:r>
            <w:r>
              <w:rPr>
                <w:color w:val="000000"/>
                <w:sz w:val="22"/>
                <w:szCs w:val="22"/>
              </w:rPr>
              <w:t xml:space="preserve">42,5%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уголь без инородных примесей (песок, глина, щебень, вскрышные породы)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Назначение товара: </w:t>
            </w:r>
            <w:r>
              <w:rPr>
                <w:sz w:val="22"/>
                <w:szCs w:val="22"/>
              </w:rPr>
              <w:t xml:space="preserve">предназначен для выработки тепловой энергии в процессе его сжигания в стационарных котельных установках Заказчика. </w:t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cc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1774</w:t>
            </w:r>
            <w:r>
              <w:rPr>
                <w:sz w:val="22"/>
                <w:szCs w:val="22"/>
              </w:rPr>
            </w:r>
          </w:p>
        </w:tc>
      </w:tr>
    </w:tbl>
    <w:p>
      <w:pPr>
        <w:ind w:left="-567"/>
        <w:jc w:val="both"/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highlight w:val="yellow"/>
          <w:lang w:eastAsia="en-US"/>
        </w:rPr>
        <w:t xml:space="preserve">2. Место поставки: </w:t>
      </w:r>
      <w:r>
        <w:rPr>
          <w:rFonts w:eastAsia="Calibri"/>
          <w:b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rPr>
          <w:rFonts w:eastAsia="Calibri"/>
          <w:color w:val="00000a"/>
          <w:sz w:val="22"/>
          <w:szCs w:val="22"/>
          <w:highlight w:val="yellow"/>
          <w:lang w:eastAsia="en-US"/>
        </w:rPr>
      </w:pP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659357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,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Алтайский край, Бийский район, с.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Большеугренево, ул.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Смирновой, 11а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</w:r>
    </w:p>
    <w:p>
      <w:pPr>
        <w:ind w:left="-567"/>
        <w:jc w:val="both"/>
        <w:spacing w:line="276" w:lineRule="auto"/>
        <w:rPr>
          <w:rFonts w:eastAsia="Calibri"/>
          <w:color w:val="00000a"/>
          <w:sz w:val="22"/>
          <w:szCs w:val="22"/>
          <w:highlight w:val="yellow"/>
          <w:lang w:eastAsia="en-US"/>
        </w:rPr>
      </w:pP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659357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,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Алтайский край, Бийский район, с.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Верх-Бехтемир,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ул.Школьная,3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</w:r>
    </w:p>
    <w:p>
      <w:pPr>
        <w:ind w:left="-567"/>
        <w:jc w:val="both"/>
        <w:spacing w:line="276" w:lineRule="auto"/>
        <w:rPr>
          <w:rFonts w:eastAsia="Calibri"/>
          <w:color w:val="00000a"/>
          <w:sz w:val="22"/>
          <w:szCs w:val="22"/>
          <w:highlight w:val="yellow"/>
          <w:lang w:eastAsia="en-US"/>
        </w:rPr>
      </w:pP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659357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,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Алтайский край, Бийский район, с.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Енисейское,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ул.Целинная,12б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</w:r>
    </w:p>
    <w:p>
      <w:pPr>
        <w:ind w:left="-567"/>
        <w:jc w:val="both"/>
        <w:spacing w:line="276" w:lineRule="auto"/>
        <w:rPr>
          <w:rFonts w:eastAsia="Calibri"/>
          <w:color w:val="00000a"/>
          <w:sz w:val="22"/>
          <w:szCs w:val="22"/>
          <w:highlight w:val="yellow"/>
          <w:lang w:eastAsia="en-US"/>
        </w:rPr>
      </w:pP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659357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,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Алтайский край, Бийский район, с.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Новиково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, ул.Школьная,1а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,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</w:r>
    </w:p>
    <w:p>
      <w:pPr>
        <w:ind w:left="-567"/>
        <w:jc w:val="both"/>
        <w:spacing w:line="276" w:lineRule="auto"/>
        <w:rPr>
          <w:rFonts w:eastAsia="Calibri"/>
          <w:color w:val="00000a"/>
          <w:sz w:val="22"/>
          <w:szCs w:val="22"/>
          <w:highlight w:val="yellow"/>
          <w:lang w:eastAsia="en-US"/>
        </w:rPr>
      </w:pP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659357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,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Алтайский край, Бийский район, с.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Стан-Бехтемир,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ул. Зеленая, 1в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</w:r>
    </w:p>
    <w:p>
      <w:pPr>
        <w:ind w:left="-567"/>
        <w:jc w:val="both"/>
        <w:spacing w:line="276" w:lineRule="auto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659357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,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Алтайский край, Бийский район, с.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Стан-Бехтемир,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ул. Колхозная,36</w:t>
      </w:r>
      <w:r>
        <w:rPr>
          <w:rFonts w:eastAsia="Calibri"/>
          <w:color w:val="00000a"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rPr>
          <w:color w:val="00000a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2.1. Стоимость товара включает: расходы, связанные с хранением, доставкой транспортом до указанного места назначения и страховкой товара, расходы на уплату</w:t>
      </w:r>
      <w:r>
        <w:rPr>
          <w:rFonts w:eastAsia="Calibri"/>
          <w:sz w:val="22"/>
          <w:szCs w:val="22"/>
          <w:lang w:eastAsia="en-US"/>
        </w:rPr>
        <w:t xml:space="preserve"> налогов, таможенных пошлин и иных обязательных платежей, накладные расходы, требования и условия, сформированные в техническом задании, наличие финансовых, технических, организационных возможностей для выполнения обязательств по договору, доставку товара.</w:t>
      </w:r>
      <w:r>
        <w:rPr>
          <w:color w:val="00000a"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rPr>
          <w:color w:val="00000a"/>
          <w:sz w:val="22"/>
          <w:szCs w:val="22"/>
          <w:lang w:eastAsia="en-US"/>
        </w:rPr>
      </w:pPr>
      <w:r>
        <w:rPr>
          <w:rFonts w:eastAsia="Calibri"/>
          <w:b/>
          <w:color w:val="00000a"/>
          <w:sz w:val="22"/>
          <w:szCs w:val="22"/>
          <w:highlight w:val="yellow"/>
          <w:lang w:eastAsia="en-US"/>
        </w:rPr>
        <w:t xml:space="preserve">3. Срок и условия поставки: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 </w:t>
      </w:r>
      <w:r>
        <w:rPr>
          <w:rFonts w:eastAsia="Calibri"/>
          <w:color w:val="00000a"/>
          <w:sz w:val="22"/>
          <w:szCs w:val="22"/>
          <w:highlight w:val="yellow"/>
          <w:lang w:eastAsia="en-US"/>
        </w:rPr>
        <w:t xml:space="preserve">с 01.09.2026 года до 31.03.2027 года отдельными партиями в соответствии с Графиком поставки Угля</w:t>
      </w:r>
      <w:r>
        <w:rPr>
          <w:rFonts w:eastAsia="Calibri"/>
          <w:color w:val="00000a"/>
          <w:highlight w:val="yellow"/>
          <w:lang w:eastAsia="ru-RU"/>
        </w:rPr>
        <w:t xml:space="preserve">.</w:t>
      </w:r>
      <w:r>
        <w:rPr>
          <w:color w:val="00000a"/>
          <w:sz w:val="22"/>
          <w:szCs w:val="22"/>
          <w:lang w:eastAsia="en-US"/>
        </w:rPr>
        <w:t xml:space="preserve"> </w:t>
      </w:r>
      <w:r>
        <w:rPr>
          <w:color w:val="00000a"/>
          <w:sz w:val="22"/>
          <w:szCs w:val="22"/>
          <w:lang w:eastAsia="en-US"/>
        </w:rPr>
      </w:r>
    </w:p>
    <w:tbl>
      <w:tblPr>
        <w:tblW w:w="106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711"/>
        <w:gridCol w:w="992"/>
        <w:gridCol w:w="992"/>
        <w:gridCol w:w="1134"/>
        <w:gridCol w:w="1276"/>
        <w:gridCol w:w="992"/>
        <w:gridCol w:w="1276"/>
        <w:gridCol w:w="1276"/>
        <w:gridCol w:w="992"/>
      </w:tblGrid>
      <w:tr>
        <w:tblPrEx/>
        <w:trPr>
          <w:jc w:val="center"/>
          <w:trHeight w:val="1265"/>
        </w:trPr>
        <w:tc>
          <w:tcPr>
            <w:shd w:val="clear" w:color="auto" w:fill="auto"/>
            <w:tcW w:w="9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Наименование угля марка, класс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71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Всеготонн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gridSpan w:val="6"/>
            <w:shd w:val="clear" w:color="auto" w:fill="auto"/>
            <w:tcBorders>
              <w:left w:val="single" w:color="auto" w:sz="4" w:space="0"/>
            </w:tcBorders>
            <w:tcW w:w="66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Адрес поставки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 том числе по периодам тонн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Срок поставки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1973"/>
        </w:trPr>
        <w:tc>
          <w:tcPr>
            <w:shd w:val="clear" w:color="auto" w:fill="auto"/>
            <w:tcBorders>
              <w:bottom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711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Алтайский край, Бийский район,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с.Большеугренево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ул.Смирновой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 11а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Алтайский край, Бийский район, с.Верх-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Бехтемир,ул.Школьная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Алтайский край, Бийский район,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с.Енисейское,ул.Целинная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,12б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Алтайский край, Бийский район,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с.Новиково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 ул.Школьная,1а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Алтайский край, Бийский район,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с.Стан-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Бехтемир,ул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Зеленая, 1в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Алтайский край, Бийский район,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с.Стан-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Бехтемир,ул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Колхозная,36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39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1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Уголь марки ДР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11" w:type="dxa"/>
            <w:vMerge w:val="restart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1774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Сентябрь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415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 15.09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11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Октябрь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260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20.10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11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Ноябрь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365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20.11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4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11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Декабрь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 20.12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11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Январь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345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 20.01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11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Февраль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260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20.02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339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711" w:type="dxa"/>
            <w:vMerge w:val="continue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Март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142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 20.03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shd w:val="clear" w:color="auto" w:fill="auto"/>
            <w:tcBorders>
              <w:right w:val="single" w:color="auto" w:sz="4" w:space="0"/>
            </w:tcBorders>
            <w:tcW w:w="1702" w:type="dxa"/>
            <w:textDirection w:val="lrTb"/>
            <w:noWrap w:val="false"/>
          </w:tcPr>
          <w:p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Итого: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148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232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591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488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1774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</w:tbl>
    <w:p>
      <w:pPr>
        <w:ind w:left="-567"/>
        <w:jc w:val="both"/>
        <w:spacing w:line="276" w:lineRule="auto"/>
        <w:rPr>
          <w:color w:val="00000a"/>
          <w:sz w:val="22"/>
          <w:szCs w:val="22"/>
          <w:lang w:eastAsia="en-US"/>
        </w:rPr>
      </w:pPr>
      <w:r>
        <w:rPr>
          <w:color w:val="00000a"/>
          <w:sz w:val="22"/>
          <w:szCs w:val="22"/>
          <w:lang w:eastAsia="en-US"/>
        </w:rPr>
      </w:r>
      <w:r>
        <w:rPr>
          <w:color w:val="00000a"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rPr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lang w:eastAsia="ru-RU"/>
        </w:rPr>
        <w:t xml:space="preserve">3.1 </w:t>
      </w:r>
      <w:r>
        <w:rPr>
          <w:rFonts w:eastAsia="Calibri"/>
          <w:color w:val="00000a"/>
          <w:lang w:eastAsia="ru-RU"/>
        </w:rPr>
        <w:t xml:space="preserve">Доставка и разгрузка товара Заказчику производится силами Поставщика и за его счет. </w:t>
      </w:r>
      <w:r>
        <w:rPr>
          <w:rFonts w:eastAsia="NSimSun"/>
          <w:color w:val="00000a"/>
          <w:sz w:val="22"/>
          <w:szCs w:val="22"/>
          <w:lang w:eastAsia="en-US"/>
        </w:rPr>
        <w:t xml:space="preserve">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  <w:r>
        <w:rPr>
          <w:color w:val="00000a"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4. Требования к качеству, безопасности поставляемого товара:</w:t>
      </w:r>
      <w:r>
        <w:rPr>
          <w:rFonts w:eastAsia="Calibri"/>
          <w:b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4.1. Поставляемый товар должен соответствовать заданным функциональным и качественным характеристикам; 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</w:t>
      </w:r>
      <w:r>
        <w:rPr>
          <w:rFonts w:eastAsia="Calibri"/>
          <w:bCs/>
          <w:sz w:val="22"/>
          <w:szCs w:val="22"/>
          <w:lang w:eastAsia="en-US"/>
        </w:rPr>
        <w:t xml:space="preserve">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 4.3. Документ о качестве должен содержать: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- Наименование предприятия-изготовителя и (или) его товарный знак;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- Наименование Продукции, её вид, марку и сорт;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- Обозначение стандарта;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- Номер партии, дату отгрузки;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- Массу нетто;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- Результаты анализа или иное подтверждение соответствия</w:t>
      </w:r>
      <w:r>
        <w:rPr>
          <w:rFonts w:eastAsia="Calibri"/>
          <w:bCs/>
          <w:sz w:val="22"/>
          <w:szCs w:val="22"/>
          <w:lang w:eastAsia="en-US"/>
        </w:rPr>
        <w:t xml:space="preserve"> качества Продукции требованиям ТУ.4.4.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5. Требования к гарантийному сроку товара и (или) объему предоставления гарантий качества товара:</w:t>
      </w:r>
      <w:r>
        <w:rPr>
          <w:rFonts w:eastAsia="Calibri"/>
          <w:b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5.1. Гарантия качества товара - в соответствии с гарантийным сроком, установленным производителем. 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5.2. Гарантийные обязательства должны распространяться на каждую единицу товара с момента приемки товара Заказчиком.</w:t>
      </w:r>
      <w:r>
        <w:rPr>
          <w:rFonts w:eastAsia="Calibri"/>
          <w:bCs/>
          <w:sz w:val="22"/>
          <w:szCs w:val="22"/>
          <w:lang w:eastAsia="en-US"/>
        </w:rPr>
      </w:r>
    </w:p>
    <w:p>
      <w:pPr>
        <w:ind w:left="-567"/>
        <w:jc w:val="both"/>
        <w:spacing w:line="276" w:lineRule="auto"/>
        <w:widowControl w:val="off"/>
        <w:rPr>
          <w:rFonts w:eastAsia="NSimSun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5.3. Поставщик обязан при обнаружении недостатков у поставляемого товара заменить товар </w:t>
      </w:r>
      <w:r>
        <w:rPr>
          <w:rFonts w:eastAsia="Calibri"/>
          <w:bCs/>
          <w:sz w:val="22"/>
          <w:szCs w:val="22"/>
          <w:lang w:eastAsia="en-US"/>
        </w:rPr>
        <w:t xml:space="preserve">ненадлежащ</w:t>
      </w:r>
      <w:r>
        <w:rPr>
          <w:rFonts w:eastAsia="Calibri"/>
          <w:bCs/>
          <w:sz w:val="22"/>
          <w:szCs w:val="22"/>
          <w:lang w:eastAsia="en-US"/>
        </w:rPr>
        <w:t xml:space="preserve">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  <w:r>
        <w:rPr>
          <w:rFonts w:eastAsia="NSimSun"/>
          <w:bCs/>
          <w:sz w:val="22"/>
          <w:szCs w:val="22"/>
          <w:lang w:eastAsia="en-US"/>
        </w:rPr>
      </w:r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SimSun">
    <w:panose1 w:val="02020603020101020101"/>
  </w:font>
  <w:font w:name="Segoe UI Symbol">
    <w:panose1 w:val="020B0502040504020204"/>
  </w:font>
  <w:font w:name="Mangal">
    <w:panose1 w:val="02040503050406030204"/>
  </w:font>
  <w:font w:name="SimSun">
    <w:panose1 w:val="02020603020101020101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 w:customStyle="1">
    <w:name w:val="Сетка таблицы11"/>
    <w:basedOn w:val="620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Ахметянова Лена Маратовна</dc:creator>
  <cp:keywords/>
  <dc:description/>
  <cp:lastModifiedBy>Екатерина Сергеевна</cp:lastModifiedBy>
  <cp:revision>7</cp:revision>
  <dcterms:created xsi:type="dcterms:W3CDTF">2026-06-24T10:06:00Z</dcterms:created>
  <dcterms:modified xsi:type="dcterms:W3CDTF">2026-07-30T11:58:08Z</dcterms:modified>
</cp:coreProperties>
</file>