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«31</w:t>
      </w:r>
      <w:r>
        <w:rPr>
          <w:bCs/>
        </w:rPr>
        <w:t xml:space="preserve">» июля</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ковра борцовского</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Подолянская</w:t>
            </w:r>
            <w:r>
              <w:rPr>
                <w:rFonts w:ascii="Liberation Serif" w:hAnsi="Liberation Serif" w:cs="Liberation Serif"/>
                <w:sz w:val="22"/>
                <w:szCs w:val="22"/>
              </w:rPr>
              <w:t xml:space="preserve"> Анастасия Александровна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ковра борцовского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808 000 (Восемьсот восемь тысяч</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«10</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31</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07</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10</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«10</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ковра борцовского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Ковёр борцовский двухцветный 12х12м.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b w:val="0"/>
                <w:bCs w:val="0"/>
                <w:sz w:val="24"/>
                <w:szCs w:val="24"/>
                <w:u w:val="none"/>
                <w14:ligatures w14:val="none"/>
              </w:rPr>
            </w:pPr>
            <w:r>
              <w:rPr>
                <w:rFonts w:ascii="Liberation Serif" w:hAnsi="Liberation Serif" w:cs="Liberation Serif"/>
                <w:sz w:val="22"/>
                <w:szCs w:val="22"/>
              </w:rPr>
              <w:t xml:space="preserve">Мягкое напольное покрытие одноцветное используемое для тренировок и проведения соревнований по греко-римской, вольной борьбе и самбо, а также в других видах единоборств</w:t>
            </w:r>
            <w:r>
              <w:rPr>
                <w:rFonts w:ascii="Liberation Serif" w:hAnsi="Liberation Serif" w:cs="Liberation Serif"/>
                <w:sz w:val="22"/>
                <w:szCs w:val="22"/>
              </w:rPr>
            </w:r>
            <w:r>
              <w:rPr>
                <w:rFonts w:ascii="Liberation Serif" w:hAnsi="Liberation Serif" w:cs="Liberation Serif"/>
                <w:b w:val="0"/>
                <w:bCs w:val="0"/>
                <w:sz w:val="24"/>
                <w:szCs w:val="24"/>
                <w:u w:val="none"/>
                <w14:ligatures w14:val="none"/>
              </w:rPr>
            </w:r>
          </w:p>
          <w:p>
            <w:pPr>
              <w:jc w:val="left"/>
              <w:spacing w:after="0"/>
              <w:widowControl w:val="off"/>
              <w:rPr>
                <w:rFonts w:ascii="Liberation Serif" w:hAnsi="Liberation Serif" w:cs="Liberation Serif"/>
                <w:b/>
                <w:bCs/>
                <w:u w:val="none"/>
                <w14:ligatures w14:val="none"/>
              </w:rPr>
            </w:pPr>
            <w:r>
              <w:rPr>
                <w:rFonts w:ascii="Liberation Serif" w:hAnsi="Liberation Serif" w:cs="Liberation Serif"/>
                <w:sz w:val="22"/>
                <w:szCs w:val="22"/>
              </w:rPr>
              <w:t xml:space="preserve">Технические характеристики:</w:t>
            </w:r>
            <w:r>
              <w:rPr>
                <w:rFonts w:ascii="Liberation Serif" w:hAnsi="Liberation Serif" w:cs="Liberation Serif"/>
                <w:sz w:val="22"/>
                <w:szCs w:val="22"/>
              </w:rPr>
            </w:r>
            <w:r>
              <w:rPr>
                <w:rFonts w:ascii="Liberation Serif" w:hAnsi="Liberation Serif" w:cs="Liberation Serif"/>
                <w:b/>
                <w:bCs/>
                <w:u w:val="none"/>
                <w14:ligatures w14:val="none"/>
              </w:rPr>
            </w:r>
          </w:p>
          <w:p>
            <w:pPr>
              <w:jc w:val="left"/>
              <w:spacing w:after="0"/>
              <w:widowControl w:val="off"/>
              <w:rPr>
                <w:rFonts w:ascii="Liberation Serif" w:hAnsi="Liberation Serif" w:cs="Liberation Serif"/>
                <w:b w:val="0"/>
                <w:bCs w:val="0"/>
                <w:u w:val="none"/>
                <w14:ligatures w14:val="none"/>
              </w:rPr>
            </w:pPr>
            <w:r>
              <w:rPr>
                <w:rFonts w:ascii="Liberation Serif" w:hAnsi="Liberation Serif" w:cs="Liberation Serif"/>
                <w:sz w:val="22"/>
                <w:szCs w:val="22"/>
              </w:rPr>
              <w:t xml:space="preserve">Размер одного мата наполнение внутр</w:t>
            </w:r>
            <w:r>
              <w:rPr>
                <w:rFonts w:ascii="Liberation Serif" w:hAnsi="Liberation Serif" w:cs="Liberation Serif"/>
                <w:sz w:val="22"/>
                <w:szCs w:val="22"/>
              </w:rPr>
              <w:t xml:space="preserve">и : (ШхД) не менее 1 м × не более 2 метров НПЭ (несшитый пенополиэтилен)</w:t>
            </w:r>
            <w:r>
              <w:rPr>
                <w:rFonts w:ascii="Liberation Serif" w:hAnsi="Liberation Serif" w:cs="Liberation Serif"/>
                <w:sz w:val="22"/>
                <w:szCs w:val="22"/>
              </w:rPr>
            </w:r>
            <w:r>
              <w:rPr>
                <w:rFonts w:ascii="Liberation Serif" w:hAnsi="Liberation Serif" w:cs="Liberation Serif"/>
                <w:b w:val="0"/>
                <w:bCs w:val="0"/>
                <w:u w:val="none"/>
                <w14:ligatures w14:val="none"/>
              </w:rPr>
            </w:r>
          </w:p>
          <w:p>
            <w:pPr>
              <w:jc w:val="left"/>
              <w:spacing w:after="0"/>
              <w:widowControl w:val="off"/>
              <w:rPr>
                <w:rFonts w:ascii="Liberation Serif" w:hAnsi="Liberation Serif" w:cs="Liberation Serif"/>
                <w:b w:val="0"/>
                <w:bCs w:val="0"/>
                <w:u w:val="none"/>
                <w14:ligatures w14:val="none"/>
              </w:rPr>
            </w:pPr>
            <w:r>
              <w:rPr>
                <w:rFonts w:ascii="Liberation Serif" w:hAnsi="Liberation Serif" w:cs="Liberation Serif"/>
                <w:sz w:val="22"/>
                <w:szCs w:val="22"/>
              </w:rPr>
              <w:t xml:space="preserve">Толщина</w:t>
            </w:r>
            <w:r>
              <w:rPr>
                <w:rFonts w:ascii="Liberation Serif" w:hAnsi="Liberation Serif" w:cs="Liberation Serif"/>
                <w:sz w:val="22"/>
                <w:szCs w:val="22"/>
              </w:rPr>
              <w:t xml:space="preserve">: не менее 40 мм</w:t>
            </w:r>
            <w:r>
              <w:rPr>
                <w:rFonts w:ascii="Liberation Serif" w:hAnsi="Liberation Serif" w:cs="Liberation Serif"/>
                <w:sz w:val="22"/>
                <w:szCs w:val="22"/>
              </w:rPr>
            </w:r>
            <w:r>
              <w:rPr>
                <w:rFonts w:ascii="Liberation Serif" w:hAnsi="Liberation Serif" w:cs="Liberation Serif"/>
                <w:b w:val="0"/>
                <w:bCs w:val="0"/>
                <w:u w:val="none"/>
                <w14:ligatures w14:val="none"/>
              </w:rPr>
            </w:r>
          </w:p>
          <w:p>
            <w:pPr>
              <w:jc w:val="left"/>
              <w:spacing w:after="0"/>
              <w:widowControl w:val="off"/>
              <w:rPr>
                <w:rFonts w:ascii="Liberation Serif" w:hAnsi="Liberation Serif" w:cs="Liberation Serif"/>
                <w:b w:val="0"/>
                <w:bCs w:val="0"/>
                <w:u w:val="none"/>
                <w14:ligatures w14:val="none"/>
              </w:rPr>
            </w:pPr>
            <w:r>
              <w:rPr>
                <w:rFonts w:ascii="Liberation Serif" w:hAnsi="Liberation Serif" w:cs="Liberation Serif"/>
                <w:sz w:val="22"/>
                <w:szCs w:val="22"/>
              </w:rPr>
              <w:t xml:space="preserve">Наполнитель (основа)</w:t>
            </w:r>
            <w:r>
              <w:rPr>
                <w:rFonts w:ascii="Liberation Serif" w:hAnsi="Liberation Serif" w:cs="Liberation Serif"/>
                <w:sz w:val="22"/>
                <w:szCs w:val="22"/>
              </w:rPr>
              <w:t xml:space="preserve">: НПЭ (несшитый пенополиэтилен)</w:t>
            </w:r>
            <w:r>
              <w:rPr>
                <w:rFonts w:ascii="Liberation Serif" w:hAnsi="Liberation Serif" w:cs="Liberation Serif"/>
                <w:sz w:val="22"/>
                <w:szCs w:val="22"/>
              </w:rPr>
            </w:r>
            <w:r>
              <w:rPr>
                <w:rFonts w:ascii="Liberation Serif" w:hAnsi="Liberation Serif" w:cs="Liberation Serif"/>
                <w:b w:val="0"/>
                <w:bCs w:val="0"/>
                <w:u w:val="none"/>
                <w14:ligatures w14:val="none"/>
              </w:rPr>
            </w:r>
          </w:p>
          <w:p>
            <w:pPr>
              <w:jc w:val="left"/>
              <w:spacing w:after="0"/>
              <w:widowControl w:val="off"/>
              <w:rPr>
                <w:rFonts w:ascii="Liberation Serif" w:hAnsi="Liberation Serif" w:cs="Liberation Serif"/>
                <w:b w:val="0"/>
                <w:bCs w:val="0"/>
                <w:u w:val="none"/>
                <w14:ligatures w14:val="none"/>
              </w:rPr>
            </w:pPr>
            <w:r>
              <w:rPr>
                <w:rFonts w:ascii="Liberation Serif" w:hAnsi="Liberation Serif" w:cs="Liberation Serif"/>
                <w:sz w:val="22"/>
                <w:szCs w:val="22"/>
              </w:rPr>
              <w:t xml:space="preserve">Плотность наполнителя:</w:t>
            </w:r>
            <w:r>
              <w:rPr>
                <w:rFonts w:ascii="Liberation Serif" w:hAnsi="Liberation Serif" w:cs="Liberation Serif"/>
                <w:sz w:val="22"/>
                <w:szCs w:val="22"/>
              </w:rPr>
              <w:t xml:space="preserve"> эквивалент плотности не менее 140 не более 160 кг/м3.</w:t>
            </w:r>
            <w:r>
              <w:rPr>
                <w:rFonts w:ascii="Liberation Serif" w:hAnsi="Liberation Serif" w:cs="Liberation Serif"/>
                <w:sz w:val="22"/>
                <w:szCs w:val="22"/>
              </w:rPr>
            </w:r>
            <w:r>
              <w:rPr>
                <w:rFonts w:ascii="Liberation Serif" w:hAnsi="Liberation Serif" w:cs="Liberation Serif"/>
                <w:b w:val="0"/>
                <w:bCs w:val="0"/>
                <w:u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Тип покрытия (лицевая сторона ):</w:t>
            </w:r>
            <w:r>
              <w:rPr>
                <w:rFonts w:ascii="Liberation Serif" w:hAnsi="Liberation Serif" w:cs="Liberation Serif"/>
                <w:sz w:val="22"/>
                <w:szCs w:val="22"/>
              </w:rPr>
              <w:t xml:space="preserve"> Износостойкий армированный ПВХ-материал (винил)</w:t>
            </w:r>
            <w:r>
              <w:rPr>
                <w:rFonts w:ascii="Liberation Serif" w:hAnsi="Liberation Serif" w:cs="Liberation Serif"/>
                <w:sz w:val="22"/>
                <w:szCs w:val="22"/>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В упаковке 72 штуки.</w:t>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t xml:space="preserve">Цвет: по согласованию с Заказчиком.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3"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ковра борцовского</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ковра борцовского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Ковёр борцовский двухцветный 12х12м.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ковра борцовского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Ковёр борцовский двухцветный 12х12м.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Мягкое напольное покрытие одноцветное используемое для тренировок и проведения соревнований по греко-римской, вольной борьбе и самбо, а также в других видах единоборств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одного мата наполнение внутр</w:t>
            </w:r>
            <w:r>
              <w:rPr>
                <w:rFonts w:ascii="Liberation Serif" w:hAnsi="Liberation Serif" w:cs="Liberation Serif"/>
                <w:sz w:val="22"/>
                <w:szCs w:val="22"/>
              </w:rPr>
              <w:t xml:space="preserve">и : (ШхД) не менее 1 м × не более 2 метров НПЭ (несшитый пенополиэтилен)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w:t>
            </w:r>
            <w:r>
              <w:rPr>
                <w:rFonts w:ascii="Liberation Serif" w:hAnsi="Liberation Serif" w:cs="Liberation Serif"/>
                <w:sz w:val="22"/>
                <w:szCs w:val="22"/>
              </w:rPr>
              <w:t xml:space="preserve">: не менее 40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Наполнитель (основа)</w:t>
            </w:r>
            <w:r>
              <w:rPr>
                <w:rFonts w:ascii="Liberation Serif" w:hAnsi="Liberation Serif" w:cs="Liberation Serif"/>
                <w:sz w:val="22"/>
                <w:szCs w:val="22"/>
              </w:rPr>
              <w:t xml:space="preserve">: НПЭ (несшитый пенополиэтилен)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наполнителя:</w:t>
            </w:r>
            <w:r>
              <w:rPr>
                <w:rFonts w:ascii="Liberation Serif" w:hAnsi="Liberation Serif" w:cs="Liberation Serif"/>
                <w:sz w:val="22"/>
                <w:szCs w:val="22"/>
              </w:rPr>
              <w:t xml:space="preserve"> эквивалент плотности не менее 140 не более 160 кг/м3.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Тип покрытия (лицевая сторона ):</w:t>
            </w:r>
            <w:r>
              <w:rPr>
                <w:rFonts w:ascii="Liberation Serif" w:hAnsi="Liberation Serif" w:cs="Liberation Serif"/>
                <w:sz w:val="22"/>
                <w:szCs w:val="22"/>
              </w:rPr>
              <w:t xml:space="preserve"> Износостойкий армированный ПВХ-материал (винил)</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В упаковке 72 штуки.</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t xml:space="preserve">Цвет: по согласованию с Заказчиком.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4"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hyperlink" Target="http://www.pandia.ru/text/category/russkij_yazik/" TargetMode="External"/><Relationship Id="rId14"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74</cp:revision>
  <dcterms:created xsi:type="dcterms:W3CDTF">2022-06-01T08:31:00Z</dcterms:created>
  <dcterms:modified xsi:type="dcterms:W3CDTF">2026-07-30T20:24:48Z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