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9F49A" w14:textId="77777777" w:rsidR="0025384A" w:rsidRDefault="0025384A" w:rsidP="00401DA3">
      <w:pPr>
        <w:pStyle w:val="Standard"/>
        <w:keepNext/>
        <w:keepLines/>
        <w:tabs>
          <w:tab w:val="left" w:pos="3570"/>
        </w:tabs>
        <w:rPr>
          <w:b/>
          <w:sz w:val="20"/>
          <w:szCs w:val="20"/>
          <w:lang w:val="ru-RU"/>
        </w:rPr>
      </w:pPr>
    </w:p>
    <w:p w14:paraId="2609AA5D" w14:textId="77777777" w:rsidR="0025384A" w:rsidRDefault="00534E8A">
      <w:pPr>
        <w:pStyle w:val="Standard"/>
        <w:keepNext/>
        <w:keepLines/>
        <w:jc w:val="center"/>
        <w:rPr>
          <w:b/>
          <w:lang w:val="ru-RU"/>
        </w:rPr>
      </w:pPr>
      <w:r>
        <w:rPr>
          <w:b/>
          <w:lang w:val="ru-RU"/>
        </w:rPr>
        <w:t>ТЕХНИЧЕСКОЕ ЗАДАНИЕ</w:t>
      </w:r>
    </w:p>
    <w:p w14:paraId="5BD97345" w14:textId="48870927" w:rsidR="0025384A" w:rsidRDefault="00534E8A" w:rsidP="00E71FFC">
      <w:pPr>
        <w:pStyle w:val="Standard"/>
        <w:keepNext/>
        <w:keepLines/>
        <w:autoSpaceDE w:val="0"/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r w:rsidR="00EE475A">
        <w:rPr>
          <w:rFonts w:eastAsia="Times New Roman"/>
          <w:b/>
          <w:bCs/>
          <w:lang w:val="ru-RU" w:eastAsia="ru-RU"/>
        </w:rPr>
        <w:t xml:space="preserve">выполнение работ по </w:t>
      </w:r>
      <w:r w:rsidR="00E71FFC">
        <w:rPr>
          <w:rFonts w:eastAsia="Times New Roman"/>
          <w:b/>
          <w:bCs/>
          <w:lang w:val="ru-RU" w:eastAsia="ru-RU"/>
        </w:rPr>
        <w:t>установке охранной сигнализации по периметру котельной</w:t>
      </w:r>
    </w:p>
    <w:p w14:paraId="402814D4" w14:textId="77777777" w:rsidR="0025384A" w:rsidRDefault="0025384A">
      <w:pPr>
        <w:pStyle w:val="Standard"/>
        <w:keepNext/>
        <w:keepLines/>
        <w:jc w:val="center"/>
        <w:rPr>
          <w:b/>
          <w:lang w:val="ru-RU"/>
        </w:rPr>
      </w:pPr>
    </w:p>
    <w:p w14:paraId="7B8023D3" w14:textId="367CFE8C" w:rsidR="0025384A" w:rsidRPr="0010367F" w:rsidRDefault="00534E8A" w:rsidP="00401DA3">
      <w:pPr>
        <w:pStyle w:val="Standard"/>
        <w:keepNext/>
        <w:keepLines/>
        <w:jc w:val="both"/>
        <w:rPr>
          <w:lang w:val="ru-RU"/>
        </w:rPr>
      </w:pPr>
      <w:r>
        <w:rPr>
          <w:b/>
          <w:lang w:val="ru-RU"/>
        </w:rPr>
        <w:tab/>
      </w:r>
    </w:p>
    <w:p w14:paraId="61185C8C" w14:textId="7F986585" w:rsidR="00EE475A" w:rsidRPr="00EE475A" w:rsidRDefault="00EE475A" w:rsidP="00EE475A">
      <w:pPr>
        <w:tabs>
          <w:tab w:val="left" w:pos="1418"/>
        </w:tabs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EE475A">
        <w:rPr>
          <w:rFonts w:eastAsia="Times New Roman" w:cs="Times New Roman"/>
          <w:b/>
          <w:kern w:val="0"/>
          <w:lang w:val="ru-RU" w:eastAsia="ru-RU" w:bidi="ar-SA"/>
        </w:rPr>
        <w:t xml:space="preserve">Предмет договора, объем выполняемой работы: </w:t>
      </w:r>
      <w:r w:rsidRPr="00EE475A">
        <w:rPr>
          <w:rFonts w:eastAsia="Times New Roman" w:cs="Times New Roman"/>
          <w:kern w:val="0"/>
          <w:lang w:val="ru-RU" w:eastAsia="ru-RU" w:bidi="ar-SA"/>
        </w:rPr>
        <w:t xml:space="preserve">Выполнение работ по </w:t>
      </w:r>
      <w:r w:rsidR="00E71FFC">
        <w:rPr>
          <w:rFonts w:eastAsia="Times New Roman" w:cs="Times New Roman"/>
          <w:kern w:val="0"/>
          <w:lang w:val="ru-RU" w:eastAsia="ru-RU" w:bidi="ar-SA"/>
        </w:rPr>
        <w:t>установке охранной сигнализации по периметру котельной</w:t>
      </w:r>
      <w:r w:rsidRPr="00EE475A">
        <w:rPr>
          <w:rFonts w:eastAsia="Times New Roman" w:cs="Times New Roman"/>
          <w:kern w:val="0"/>
          <w:lang w:val="ru-RU" w:eastAsia="ru-RU" w:bidi="ar-SA"/>
        </w:rPr>
        <w:t>, в количестве 1 условной единицы.</w:t>
      </w:r>
    </w:p>
    <w:p w14:paraId="7EA3584C" w14:textId="33EBFC15" w:rsidR="00EE475A" w:rsidRPr="00EE475A" w:rsidRDefault="00EE475A" w:rsidP="00EE475A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EE475A">
        <w:rPr>
          <w:rFonts w:eastAsia="Times New Roman" w:cs="Times New Roman"/>
          <w:b/>
          <w:kern w:val="0"/>
          <w:lang w:val="ru-RU" w:eastAsia="ru-RU" w:bidi="ar-SA"/>
        </w:rPr>
        <w:t>Место выполнения работы:</w:t>
      </w:r>
      <w:r w:rsidRPr="00EE475A">
        <w:rPr>
          <w:rFonts w:eastAsia="Times New Roman" w:cs="Times New Roman"/>
          <w:kern w:val="0"/>
          <w:lang w:val="ru-RU" w:eastAsia="ru-RU" w:bidi="ar-SA"/>
        </w:rPr>
        <w:t xml:space="preserve"> 658076, Алтайский край, ЗАТО Сибирский, котельная МУМКП</w:t>
      </w:r>
      <w:r w:rsidR="00A4487F">
        <w:rPr>
          <w:rFonts w:eastAsia="Times New Roman" w:cs="Times New Roman"/>
          <w:kern w:val="0"/>
          <w:lang w:val="ru-RU" w:eastAsia="ru-RU" w:bidi="ar-SA"/>
        </w:rPr>
        <w:t xml:space="preserve"> ЗАТО Сибирский Алтайского края</w:t>
      </w:r>
      <w:bookmarkStart w:id="0" w:name="_GoBack"/>
      <w:bookmarkEnd w:id="0"/>
    </w:p>
    <w:p w14:paraId="4979FCF2" w14:textId="32880AB2" w:rsidR="00401DA3" w:rsidRDefault="00EE475A" w:rsidP="00EE475A">
      <w:pPr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zh-CN" w:bidi="ar-SA"/>
        </w:rPr>
      </w:pPr>
      <w:r w:rsidRPr="00EE475A">
        <w:rPr>
          <w:rFonts w:eastAsia="Times New Roman" w:cs="Times New Roman"/>
          <w:b/>
          <w:spacing w:val="1"/>
          <w:kern w:val="0"/>
          <w:lang w:val="ru-RU" w:bidi="ar-SA"/>
        </w:rPr>
        <w:t xml:space="preserve">Срок (период) </w:t>
      </w:r>
      <w:r w:rsidRPr="00EE475A">
        <w:rPr>
          <w:rFonts w:eastAsia="Times New Roman" w:cs="Times New Roman"/>
          <w:b/>
          <w:spacing w:val="1"/>
          <w:kern w:val="0"/>
          <w:lang w:val="ru-RU" w:eastAsia="ru-RU" w:bidi="ar-SA"/>
        </w:rPr>
        <w:t>выполнения работы</w:t>
      </w:r>
      <w:r w:rsidRPr="00EE475A">
        <w:rPr>
          <w:rFonts w:eastAsia="Times New Roman" w:cs="Times New Roman"/>
          <w:b/>
          <w:spacing w:val="1"/>
          <w:kern w:val="0"/>
          <w:lang w:val="ru-RU" w:bidi="ar-SA"/>
        </w:rPr>
        <w:t xml:space="preserve">: </w:t>
      </w:r>
      <w:r w:rsidRPr="00EE475A">
        <w:rPr>
          <w:rFonts w:eastAsia="Times New Roman" w:cs="Times New Roman"/>
          <w:kern w:val="0"/>
          <w:lang w:val="ru-RU" w:eastAsia="zh-CN" w:bidi="ar-SA"/>
        </w:rPr>
        <w:t xml:space="preserve">с </w:t>
      </w:r>
      <w:r w:rsidR="00E71FFC">
        <w:rPr>
          <w:rFonts w:eastAsia="Times New Roman" w:cs="Times New Roman"/>
          <w:kern w:val="0"/>
          <w:lang w:val="ru-RU" w:eastAsia="zh-CN" w:bidi="ar-SA"/>
        </w:rPr>
        <w:t>момента заключения договора до 31 октября 2026 года</w:t>
      </w:r>
      <w:r w:rsidRPr="00EE475A">
        <w:rPr>
          <w:rFonts w:eastAsia="Times New Roman" w:cs="Times New Roman"/>
          <w:kern w:val="0"/>
          <w:lang w:val="ru-RU" w:eastAsia="zh-CN" w:bidi="ar-SA"/>
        </w:rPr>
        <w:t xml:space="preserve"> (возможно досрочное выполнение работ).</w:t>
      </w:r>
    </w:p>
    <w:p w14:paraId="280F0B22" w14:textId="642AE13B" w:rsidR="00E71FFC" w:rsidRDefault="00E71FFC" w:rsidP="00EE475A">
      <w:pPr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zh-CN" w:bidi="ar-SA"/>
        </w:rPr>
      </w:pPr>
    </w:p>
    <w:p w14:paraId="4A2D8522" w14:textId="77777777" w:rsidR="00E71FFC" w:rsidRPr="00E71FFC" w:rsidRDefault="00E71FFC" w:rsidP="00E71FFC">
      <w:pPr>
        <w:widowControl/>
        <w:suppressAutoHyphens w:val="0"/>
        <w:autoSpaceDN/>
        <w:ind w:firstLine="284"/>
        <w:jc w:val="center"/>
        <w:textAlignment w:val="auto"/>
        <w:rPr>
          <w:rFonts w:eastAsia="Calibri" w:cs="Times New Roman"/>
          <w:b/>
          <w:kern w:val="0"/>
          <w:sz w:val="22"/>
          <w:szCs w:val="22"/>
          <w:lang w:val="ru-RU" w:bidi="ar-SA"/>
        </w:rPr>
      </w:pPr>
      <w:r w:rsidRPr="00E71FFC">
        <w:rPr>
          <w:rFonts w:eastAsia="Calibri" w:cs="Times New Roman"/>
          <w:b/>
          <w:kern w:val="0"/>
          <w:sz w:val="22"/>
          <w:szCs w:val="22"/>
          <w:lang w:val="ru-RU" w:bidi="ar-SA"/>
        </w:rPr>
        <w:t>Наименование и характеристика материалов,</w:t>
      </w:r>
    </w:p>
    <w:p w14:paraId="5C0F7205" w14:textId="535A599C" w:rsidR="00E71FFC" w:rsidRPr="00E71FFC" w:rsidRDefault="00E71FFC" w:rsidP="00E71FFC">
      <w:pPr>
        <w:widowControl/>
        <w:suppressAutoHyphens w:val="0"/>
        <w:autoSpaceDN/>
        <w:ind w:firstLine="284"/>
        <w:jc w:val="center"/>
        <w:textAlignment w:val="auto"/>
        <w:rPr>
          <w:rFonts w:eastAsia="Calibri" w:cs="Times New Roman"/>
          <w:b/>
          <w:kern w:val="0"/>
          <w:sz w:val="22"/>
          <w:szCs w:val="22"/>
          <w:lang w:val="ru-RU" w:bidi="ar-SA"/>
        </w:rPr>
      </w:pPr>
      <w:r w:rsidRPr="00E71FFC">
        <w:rPr>
          <w:rFonts w:eastAsia="Calibri" w:cs="Times New Roman"/>
          <w:b/>
          <w:kern w:val="0"/>
          <w:sz w:val="22"/>
          <w:szCs w:val="22"/>
          <w:lang w:val="ru-RU" w:bidi="ar-SA"/>
        </w:rPr>
        <w:t>используемых при выполнении работ</w:t>
      </w:r>
    </w:p>
    <w:p w14:paraId="30567E5F" w14:textId="77777777" w:rsidR="00E71FFC" w:rsidRDefault="00E71FFC" w:rsidP="00EE475A">
      <w:pPr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zh-CN" w:bidi="ar-SA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5244"/>
        <w:gridCol w:w="851"/>
        <w:gridCol w:w="709"/>
      </w:tblGrid>
      <w:tr w:rsidR="00E71FFC" w14:paraId="25F639BD" w14:textId="77777777" w:rsidTr="00DD21E9">
        <w:trPr>
          <w:trHeight w:val="8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A512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5046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51C4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98DA" w14:textId="2A2A94B0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  <w:r w:rsidR="001B72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  <w:p w14:paraId="4BF4DC6E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3DC2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  <w:p w14:paraId="5C82EE20" w14:textId="77777777" w:rsidR="00E71FFC" w:rsidRDefault="00E71FFC" w:rsidP="00DD21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71FFC" w14:paraId="0E05E708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C1A7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1423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Извещатель охранный активный инфракрасный ST-PD062BDE-MC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4EE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Дистанция обнаружения, снаружи: 60 м</w:t>
            </w:r>
          </w:p>
          <w:p w14:paraId="6B845CC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Дистанция обнаружения, внутри: 120 м</w:t>
            </w:r>
          </w:p>
          <w:p w14:paraId="4FE8C64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Режим обнаружения:</w:t>
            </w:r>
          </w:p>
          <w:p w14:paraId="300AF58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Одновременное прерывание 2 лучей</w:t>
            </w:r>
          </w:p>
          <w:p w14:paraId="2F7AC35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Время прерывания: 50 мс, 100 мс, 300 мс, 700 мс</w:t>
            </w:r>
          </w:p>
          <w:p w14:paraId="13A4C56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Частотные каналы: 4</w:t>
            </w:r>
          </w:p>
          <w:p w14:paraId="3335263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Регулировка по горизонтали: ±90</w:t>
            </w:r>
            <w:r>
              <w:rPr>
                <w:rFonts w:cs="Times New Roman"/>
                <w:sz w:val="22"/>
                <w:szCs w:val="22"/>
                <w:vertAlign w:val="superscript"/>
                <w:lang w:val="ru-RU"/>
              </w:rPr>
              <w:t>0</w:t>
            </w:r>
          </w:p>
          <w:p w14:paraId="19077E6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Регулировка по вертикали: ±10</w:t>
            </w:r>
            <w:r>
              <w:rPr>
                <w:rFonts w:cs="Times New Roman"/>
                <w:sz w:val="22"/>
                <w:szCs w:val="22"/>
                <w:vertAlign w:val="superscript"/>
                <w:lang w:val="ru-RU"/>
              </w:rPr>
              <w:t>0</w:t>
            </w:r>
          </w:p>
          <w:p w14:paraId="4F89AD6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Тревожный выход: НР, НЗ, ОБЩ; до 1А, 24 В (AC/DC)</w:t>
            </w:r>
          </w:p>
          <w:p w14:paraId="6FCF37A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Датчик вскрытия: НЗ, ОБЩ; до 0,5А, 30 В (AC/DC)</w:t>
            </w:r>
          </w:p>
          <w:p w14:paraId="7B9670E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Питание 12 – 24 В (DC), 12 – 18 В (AC)</w:t>
            </w:r>
          </w:p>
          <w:p w14:paraId="557573E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Потребляемый ток:</w:t>
            </w:r>
          </w:p>
          <w:p w14:paraId="15ED459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приемник + передатчик: 52 мА, обогреватель: 500 мА</w:t>
            </w:r>
          </w:p>
          <w:p w14:paraId="4A94247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Класс защиты: IP65</w:t>
            </w:r>
          </w:p>
          <w:p w14:paraId="304815A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Рабочая температура:</w:t>
            </w:r>
          </w:p>
          <w:p w14:paraId="58730CB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-25 - +60⁰С , с обогревателем: -40 - +60⁰С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384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5A6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</w:tr>
      <w:tr w:rsidR="00E71FFC" w14:paraId="45DB5123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C792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DF37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Извещатель охранный активный инфракрасный </w:t>
            </w:r>
            <w:r>
              <w:rPr>
                <w:rFonts w:cs="Times New Roman"/>
                <w:sz w:val="22"/>
                <w:szCs w:val="22"/>
              </w:rPr>
              <w:t>ST</w:t>
            </w: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  <w:r>
              <w:rPr>
                <w:rFonts w:cs="Times New Roman"/>
                <w:sz w:val="22"/>
                <w:szCs w:val="22"/>
              </w:rPr>
              <w:t>PD</w:t>
            </w:r>
            <w:r>
              <w:rPr>
                <w:rFonts w:cs="Times New Roman"/>
                <w:sz w:val="22"/>
                <w:szCs w:val="22"/>
                <w:lang w:val="ru-RU"/>
              </w:rPr>
              <w:t>102</w:t>
            </w:r>
            <w:r>
              <w:rPr>
                <w:rFonts w:cs="Times New Roman"/>
                <w:sz w:val="22"/>
                <w:szCs w:val="22"/>
              </w:rPr>
              <w:t>BDE</w:t>
            </w: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  <w:r>
              <w:rPr>
                <w:rFonts w:cs="Times New Roman"/>
                <w:sz w:val="22"/>
                <w:szCs w:val="22"/>
              </w:rPr>
              <w:t>MC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01D2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Дистанция обнаружения, снаружи: 100 м</w:t>
            </w:r>
          </w:p>
          <w:p w14:paraId="36EAD7F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Дистанция обнаружения, внутри: 300 м</w:t>
            </w:r>
          </w:p>
          <w:p w14:paraId="6A6B787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Режим обнаружения:</w:t>
            </w:r>
          </w:p>
          <w:p w14:paraId="37F867D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Одновременное прерывание 2 лучей</w:t>
            </w:r>
          </w:p>
          <w:p w14:paraId="4FB5307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Время прерывания: 50 мс, 100 мс, 300 мс, 700 мс</w:t>
            </w:r>
          </w:p>
          <w:p w14:paraId="75116BB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Частотные каналы: 4</w:t>
            </w:r>
          </w:p>
          <w:p w14:paraId="385E62E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vertAlign w:val="superscript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Регулировка по горизонтали: ±90</w:t>
            </w:r>
            <w:r>
              <w:rPr>
                <w:rFonts w:cs="Times New Roman"/>
                <w:sz w:val="22"/>
                <w:szCs w:val="22"/>
                <w:vertAlign w:val="superscript"/>
                <w:lang w:val="ru-RU"/>
              </w:rPr>
              <w:t>0</w:t>
            </w:r>
          </w:p>
          <w:p w14:paraId="1805623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Регулировка по вертикали: ±10</w:t>
            </w:r>
            <w:r>
              <w:rPr>
                <w:rFonts w:cs="Times New Roman"/>
                <w:sz w:val="22"/>
                <w:szCs w:val="22"/>
                <w:vertAlign w:val="superscript"/>
                <w:lang w:val="ru-RU"/>
              </w:rPr>
              <w:t>0</w:t>
            </w:r>
          </w:p>
          <w:p w14:paraId="2196464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Тревожный выход: НР, НЗ, ОБЩ; до 1А, 30 В (AC/DC)</w:t>
            </w:r>
          </w:p>
          <w:p w14:paraId="1D11F6C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Датчик вскрытия: НЗ, ОБЩ; до 0,5А, 30 В (AC/DC)</w:t>
            </w:r>
          </w:p>
          <w:p w14:paraId="55349E2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Питание 12 – 24 В (AC/DC)</w:t>
            </w:r>
          </w:p>
          <w:p w14:paraId="5EA4666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Потребляемый ток:</w:t>
            </w:r>
          </w:p>
          <w:p w14:paraId="63F88F1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приемник + передатчик: 85 мА, обогреватель: 200 мА</w:t>
            </w:r>
          </w:p>
          <w:p w14:paraId="51978A1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Класс защиты: IP65</w:t>
            </w:r>
          </w:p>
          <w:p w14:paraId="3D98F7B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Рабочая температура:</w:t>
            </w:r>
          </w:p>
          <w:p w14:paraId="3064B24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-25 - +60⁰С , с обогревателем: -40 - +60⁰С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6FF" w14:textId="77777777" w:rsidR="00E71FFC" w:rsidRPr="00205E90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  <w:r>
              <w:rPr>
                <w:rFonts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2201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1545C198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7E37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B6EE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Обогреватель для извещателей </w:t>
            </w:r>
            <w:r>
              <w:rPr>
                <w:rFonts w:cs="Times New Roman"/>
                <w:sz w:val="22"/>
                <w:szCs w:val="22"/>
              </w:rPr>
              <w:t>ST</w:t>
            </w: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  <w:r>
              <w:rPr>
                <w:rFonts w:cs="Times New Roman"/>
                <w:sz w:val="22"/>
                <w:szCs w:val="22"/>
              </w:rPr>
              <w:t>PD</w:t>
            </w:r>
            <w:r>
              <w:rPr>
                <w:rFonts w:cs="Times New Roman"/>
                <w:sz w:val="22"/>
                <w:szCs w:val="22"/>
                <w:lang w:val="ru-RU"/>
              </w:rPr>
              <w:t>001</w:t>
            </w:r>
            <w:r>
              <w:rPr>
                <w:rFonts w:cs="Times New Roman"/>
                <w:sz w:val="22"/>
                <w:szCs w:val="22"/>
              </w:rPr>
              <w:t>BD</w:t>
            </w: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  <w:r>
              <w:rPr>
                <w:rFonts w:cs="Times New Roman"/>
                <w:sz w:val="22"/>
                <w:szCs w:val="22"/>
              </w:rPr>
              <w:t>H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B61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Питание: 12 В пост.тока /200 мА</w:t>
            </w:r>
          </w:p>
          <w:p w14:paraId="082E138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Диапазон рабочих температур: от -40 до +60</w:t>
            </w:r>
            <w:r>
              <w:rPr>
                <w:rFonts w:cs="Times New Roman"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  <w:lang w:val="ru-RU"/>
              </w:rPr>
              <w:t>С без конденсации</w:t>
            </w:r>
          </w:p>
          <w:p w14:paraId="6AAF077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Диапазон рабочей влажности: 10%-90%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44A2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E3FA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</w:tr>
      <w:tr w:rsidR="00E71FFC" w14:paraId="36EC2339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9A8B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946B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Пульт контроля и управления С2000М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C97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Количество приборов, подключаемых к пульту, – не более 127. </w:t>
            </w:r>
          </w:p>
          <w:p w14:paraId="1A5D29D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Максимальное количество входных цепей приборов, контролируемых пультом, – 2048. </w:t>
            </w:r>
          </w:p>
          <w:p w14:paraId="031B9CE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Максимальное количество выходов приборов, управляемых пультом, – 256. </w:t>
            </w:r>
          </w:p>
          <w:p w14:paraId="555F752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Количество разделов – до 511, групп разделов – до 128. </w:t>
            </w:r>
          </w:p>
          <w:p w14:paraId="4A1D4EB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Количество паролей и ключей пользователей – до 2047. </w:t>
            </w:r>
          </w:p>
          <w:p w14:paraId="6161267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Размер журнала событий – 1023. </w:t>
            </w:r>
          </w:p>
          <w:p w14:paraId="670D32E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Длина линии связи с приборами – не более 3000 м. </w:t>
            </w:r>
          </w:p>
          <w:p w14:paraId="00662D3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Длина линии связи RS-232 – не более 20 м. </w:t>
            </w:r>
          </w:p>
          <w:p w14:paraId="6AE28A3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Индикатор – жидкокристаллический с жёлто-зелёной подсветкой, 2 строки по 16 символов; </w:t>
            </w:r>
          </w:p>
          <w:p w14:paraId="0FDE943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Диапазон напряжений питания (от резервированного источника питания постоянного тока) –  </w:t>
            </w:r>
          </w:p>
          <w:p w14:paraId="68E8D77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от 10,2 до 28,4 В. </w:t>
            </w:r>
          </w:p>
          <w:p w14:paraId="479F207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Средний ток потребления в дежурном режиме: 60 мА при напряжении питания 12 В или 35 мА при </w:t>
            </w:r>
          </w:p>
          <w:p w14:paraId="3EAD311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напряжении питания 24 В. </w:t>
            </w:r>
          </w:p>
          <w:p w14:paraId="15416AF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Максимальный ток потребления в тревожном режиме: не более 120 мА при напряжении питания </w:t>
            </w:r>
          </w:p>
          <w:p w14:paraId="09B077B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12 В или 65 мА при напряжении питания 24 В. </w:t>
            </w:r>
          </w:p>
          <w:p w14:paraId="51EE85D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Диапазон рабочих температур – от +1 до +55 °С.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96C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D61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E71FFC" w14:paraId="70599D3C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06A5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9F9D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Блок приемно-контрольный охранно-</w:t>
            </w:r>
          </w:p>
          <w:p w14:paraId="5D87224D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пожарный Сигнал-10 (2 интерфейса </w:t>
            </w:r>
            <w:r>
              <w:rPr>
                <w:rFonts w:cs="Times New Roman"/>
                <w:sz w:val="22"/>
                <w:szCs w:val="22"/>
              </w:rPr>
              <w:t>RS</w:t>
            </w:r>
            <w:r>
              <w:rPr>
                <w:rFonts w:cs="Times New Roman"/>
                <w:sz w:val="22"/>
                <w:szCs w:val="22"/>
                <w:lang w:val="ru-RU"/>
              </w:rPr>
              <w:t>-485)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BCC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Контроль ШС (зон) Проводной не адресный</w:t>
            </w:r>
          </w:p>
          <w:p w14:paraId="22C5680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Структура шлейфа сигнализации ШС радиальной структуры</w:t>
            </w:r>
          </w:p>
          <w:p w14:paraId="0A355AB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Количество входов подключения шлейфов сигнализации 10 шт.</w:t>
            </w:r>
          </w:p>
          <w:p w14:paraId="3BE60DD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-Время технической готовности блока к работе 5c</w:t>
            </w:r>
          </w:p>
          <w:p w14:paraId="03AD2E5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Количество контролируемых релейных выходов 2, шт.</w:t>
            </w:r>
          </w:p>
          <w:p w14:paraId="25D7C5E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Рабочая температура от -30 до +55, °С</w:t>
            </w:r>
          </w:p>
          <w:p w14:paraId="61CF0F6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Степень защиты оболочкой IР40</w:t>
            </w:r>
          </w:p>
          <w:p w14:paraId="5F8E7A8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Ток потребления, mА, не более: </w:t>
            </w:r>
          </w:p>
          <w:p w14:paraId="7800131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- в дежурном режиме 220</w:t>
            </w:r>
          </w:p>
          <w:p w14:paraId="35E8549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- в режиме «Пожар» 440</w:t>
            </w:r>
          </w:p>
          <w:p w14:paraId="2D01B71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без учета тока потребления исполнительных устройств</w:t>
            </w:r>
          </w:p>
          <w:p w14:paraId="35D8BFF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Ограничение тока короткого замыкания ШС, не более 26,5 mА</w:t>
            </w:r>
          </w:p>
          <w:p w14:paraId="5749812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Габаритные размеры 156х107х39,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C33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9742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2187FC88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F3F8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3D99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Преобразователь интерфейса </w:t>
            </w:r>
            <w:r>
              <w:rPr>
                <w:rFonts w:cs="Times New Roman"/>
                <w:sz w:val="22"/>
                <w:szCs w:val="22"/>
              </w:rPr>
              <w:t>C</w:t>
            </w:r>
            <w:r>
              <w:rPr>
                <w:rFonts w:cs="Times New Roman"/>
                <w:sz w:val="22"/>
                <w:szCs w:val="22"/>
                <w:lang w:val="ru-RU"/>
              </w:rPr>
              <w:t>2000-ПИ</w:t>
            </w:r>
          </w:p>
          <w:p w14:paraId="0A2CDB85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34F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Преобразователь интерфейса </w:t>
            </w:r>
            <w:r>
              <w:rPr>
                <w:rFonts w:cs="Times New Roman"/>
                <w:sz w:val="22"/>
                <w:szCs w:val="22"/>
              </w:rPr>
              <w:t>RS</w:t>
            </w:r>
            <w:r>
              <w:rPr>
                <w:rFonts w:cs="Times New Roman"/>
                <w:sz w:val="22"/>
                <w:szCs w:val="22"/>
                <w:lang w:val="ru-RU"/>
              </w:rPr>
              <w:t>-232-</w:t>
            </w:r>
            <w:r>
              <w:rPr>
                <w:rFonts w:cs="Times New Roman"/>
                <w:sz w:val="22"/>
                <w:szCs w:val="22"/>
              </w:rPr>
              <w:t>RS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-485, повторитель интерфейса </w:t>
            </w:r>
            <w:r>
              <w:rPr>
                <w:rFonts w:cs="Times New Roman"/>
                <w:sz w:val="22"/>
                <w:szCs w:val="22"/>
              </w:rPr>
              <w:t>RS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-485 </w:t>
            </w:r>
            <w:r>
              <w:rPr>
                <w:rFonts w:cs="Times New Roman"/>
                <w:sz w:val="22"/>
                <w:szCs w:val="22"/>
              </w:rPr>
              <w:t>c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гальванической развязкой</w:t>
            </w:r>
          </w:p>
          <w:p w14:paraId="4E73A62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Напряжение питания постоянного тока от внешнего источника, В от 10 до 28</w:t>
            </w:r>
          </w:p>
          <w:p w14:paraId="45BAE54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Ток потребления:</w:t>
            </w:r>
          </w:p>
          <w:p w14:paraId="2DFB12A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от источника 12 В, мА, не более 100</w:t>
            </w:r>
          </w:p>
          <w:p w14:paraId="1407C1E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от источника 24 В, мА, не более 50</w:t>
            </w:r>
          </w:p>
          <w:p w14:paraId="08A5781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Количество входов питания 1</w:t>
            </w:r>
          </w:p>
          <w:p w14:paraId="4EFD737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Время технической готовности ПИ к работе не более</w:t>
            </w:r>
          </w:p>
          <w:p w14:paraId="6C432C9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10с</w:t>
            </w:r>
          </w:p>
          <w:p w14:paraId="6811811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Скорость передачи данных, Бод 300, 600, 1200, 2400, 4800, 9600, 19200, 38400, 57600, 115200, 230400, 460800</w:t>
            </w:r>
          </w:p>
          <w:p w14:paraId="0291C45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Степень защиты оболочки  IP40</w:t>
            </w:r>
          </w:p>
          <w:p w14:paraId="2D2622E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Устойчивость к механическим воздействиям </w:t>
            </w: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категория размещения 3</w:t>
            </w:r>
          </w:p>
          <w:p w14:paraId="2B160E4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</w:p>
          <w:p w14:paraId="082F7FA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Вибрационные нагрузки:</w:t>
            </w:r>
          </w:p>
          <w:p w14:paraId="2141282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диапазон частот, Гц 1-35;</w:t>
            </w:r>
          </w:p>
          <w:p w14:paraId="5BAE04A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максимальное ускорение 0,5 g</w:t>
            </w:r>
          </w:p>
          <w:p w14:paraId="3DF58C7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Климатическое исполнение  О3</w:t>
            </w:r>
          </w:p>
          <w:p w14:paraId="101B104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Диапазон рабочих температур, °С от минус 40 до +55</w:t>
            </w:r>
          </w:p>
          <w:p w14:paraId="794CDD4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Относительная влажность воздуха, %, не более</w:t>
            </w:r>
          </w:p>
          <w:p w14:paraId="14D1799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93</w:t>
            </w:r>
          </w:p>
          <w:p w14:paraId="43330B8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Габаритные размеры ПИ, мм, не более</w:t>
            </w:r>
          </w:p>
          <w:p w14:paraId="184EC45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105,5×109,1×41,4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063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1FD5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1CFE3B26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B230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D1E7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Блок индикации и управления </w:t>
            </w:r>
            <w:r>
              <w:rPr>
                <w:rFonts w:cs="Times New Roman"/>
                <w:sz w:val="22"/>
                <w:szCs w:val="22"/>
              </w:rPr>
              <w:t>C</w:t>
            </w:r>
            <w:r>
              <w:rPr>
                <w:rFonts w:cs="Times New Roman"/>
                <w:sz w:val="22"/>
                <w:szCs w:val="22"/>
                <w:lang w:val="ru-RU"/>
              </w:rPr>
              <w:t>2000-БКИ в 3.хх блок индикации и управления 2х</w:t>
            </w:r>
            <w:r>
              <w:rPr>
                <w:rFonts w:cs="Times New Roman"/>
                <w:sz w:val="22"/>
                <w:szCs w:val="22"/>
              </w:rPr>
              <w:t>RS</w:t>
            </w:r>
            <w:r>
              <w:rPr>
                <w:rFonts w:cs="Times New Roman"/>
                <w:sz w:val="22"/>
                <w:szCs w:val="22"/>
                <w:lang w:val="ru-RU"/>
              </w:rPr>
              <w:t>-485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452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Количество разделов  60</w:t>
            </w:r>
          </w:p>
          <w:p w14:paraId="14B12EB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Интерфейсы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2×RS‑485,</w:t>
            </w:r>
          </w:p>
          <w:p w14:paraId="6C5A555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Ток потребления, не более, mA:</w:t>
            </w:r>
          </w:p>
          <w:p w14:paraId="60888DD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в дежурном режиме (все индикаторы выключены, питание блока 12 В / 24 В) 50</w:t>
            </w:r>
          </w:p>
          <w:p w14:paraId="71B5998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в тревожном режиме (питание блока 12В) 200</w:t>
            </w:r>
          </w:p>
          <w:p w14:paraId="5ECF29D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 в тревожном режиме (питание блока 24В) 100</w:t>
            </w:r>
          </w:p>
          <w:p w14:paraId="4C8491F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Время технической готовности блока к работе, не более 5с</w:t>
            </w:r>
          </w:p>
          <w:p w14:paraId="14DFA1E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Питание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10,2–28,4 В постоянного тока</w:t>
            </w:r>
          </w:p>
          <w:p w14:paraId="6253864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Температурный диапазон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 xml:space="preserve"> от –30 до +50 °C</w:t>
            </w:r>
          </w:p>
          <w:p w14:paraId="3952CD0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Степень защиты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IP20</w:t>
            </w:r>
          </w:p>
          <w:p w14:paraId="388F3AD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Габариты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340×170×27 мм</w:t>
            </w:r>
          </w:p>
          <w:p w14:paraId="69D1FD2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F5A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90E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E71FFC" w14:paraId="53B41A89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7FC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9DD1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Блок питания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2AA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Степень защиты: не ниже </w:t>
            </w:r>
            <w:r>
              <w:rPr>
                <w:rFonts w:cs="Times New Roman"/>
                <w:sz w:val="22"/>
                <w:szCs w:val="22"/>
              </w:rPr>
              <w:t>IP</w:t>
            </w:r>
            <w:r>
              <w:rPr>
                <w:rFonts w:cs="Times New Roman"/>
                <w:sz w:val="22"/>
                <w:szCs w:val="22"/>
                <w:lang w:val="ru-RU"/>
              </w:rPr>
              <w:t>65</w:t>
            </w:r>
          </w:p>
          <w:p w14:paraId="4FB3065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Номинальная мощность: не менее 20 Вт </w:t>
            </w:r>
          </w:p>
          <w:p w14:paraId="2206D78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Первичное напряжение: 220В </w:t>
            </w:r>
          </w:p>
          <w:p w14:paraId="7B87180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Вторичное напряжение 12В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ABE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761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</w:p>
        </w:tc>
      </w:tr>
      <w:tr w:rsidR="00E71FFC" w14:paraId="0F950877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CCDE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24FB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Источник вторичного электропитания резервированный ИВЭПР 24/2,5 2х12-РБР-2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A43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Электропитание источников осуществляется от сети переменного тока напряжением (150 – 265) В и частотой (47 – 63) Гц.</w:t>
            </w:r>
          </w:p>
          <w:p w14:paraId="19550B7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Выходное напряжение в диапазоне токов нагрузки (0 – 2,5) А:</w:t>
            </w:r>
          </w:p>
          <w:p w14:paraId="6EA5FDB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– при работе от сети – (26,4 – 27,6) В;</w:t>
            </w:r>
          </w:p>
          <w:p w14:paraId="710350B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– при работе от АКБ – (19 – 27) В.</w:t>
            </w:r>
          </w:p>
          <w:p w14:paraId="273D34D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Падение напряжения на источнике в резервном режиме, от АКБ до выхода, – не более 1 В.</w:t>
            </w:r>
          </w:p>
          <w:p w14:paraId="7221996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Ток нагрузки 2– (0 – ,5) А. </w:t>
            </w:r>
          </w:p>
          <w:p w14:paraId="0E083C6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Электронная защита выхода от перегрузки и короткого замыкания  срабатывает при токе (6 – 7,5) А.</w:t>
            </w:r>
          </w:p>
          <w:p w14:paraId="6D01DF4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Пульсации выходного напряжения в режиме работы от сети, не более 100 мВ от пика до пика.</w:t>
            </w:r>
          </w:p>
          <w:p w14:paraId="7BE0B3C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Источники обеспечивают старт при суммарной емкости нагрузок – не более 1800 мкФ.</w:t>
            </w:r>
          </w:p>
          <w:p w14:paraId="765D269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Мощность, потребляемая от сети переменного тока, не более 120 Вт.</w:t>
            </w:r>
          </w:p>
          <w:p w14:paraId="6E9D63B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Собственное потребление источников от АКБ в резервном режиме не более 40 мА.</w:t>
            </w:r>
          </w:p>
          <w:p w14:paraId="270731A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Потребление источников в режиме защиты АКБ от глубокого разряда не более 10 мА.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D8B6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952E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09AE143E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6F5B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E3C1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Источник вторичного электропитания резервированный </w:t>
            </w:r>
          </w:p>
          <w:p w14:paraId="46FC39F4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ИВЭПР 12/2 2х7-Р БР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337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Электропитание источника осуществляется от сети переменного тока  напряжением (140 – 265) В, частотой (47 – 63) Гц.</w:t>
            </w:r>
          </w:p>
          <w:p w14:paraId="4DEC00D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Мощность, потребляемая от сети переменного тока, – не более 70 Вт.</w:t>
            </w:r>
          </w:p>
          <w:p w14:paraId="71E8844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Выходное напряжение в диапазоне токов нагрузки (0 – 2) А:</w:t>
            </w:r>
          </w:p>
          <w:p w14:paraId="0026972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– при работе от сети – (11,4 – 13,8) В;</w:t>
            </w:r>
          </w:p>
          <w:p w14:paraId="63811EB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– при работе от АКБ – (9,8 – 13,5) В.</w:t>
            </w:r>
          </w:p>
          <w:p w14:paraId="6B8415C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Пульсация выходного напряжения в режиме работы от сети  не более 100 мВ от  пика до пика.</w:t>
            </w:r>
          </w:p>
          <w:p w14:paraId="4543ECC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Ток нагрузки (без учета тока заряда АКБ) – (0 – 2) А.</w:t>
            </w:r>
          </w:p>
          <w:p w14:paraId="59DF496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Электронная защита выхода от перегрузки и короткого замыкания  срабатывает при токе (4,2 – 5,5) А.</w:t>
            </w:r>
          </w:p>
          <w:p w14:paraId="6610270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Собственный ток потребления источника от АКБ в резервном режиме  не более 40 мА.</w:t>
            </w:r>
          </w:p>
          <w:p w14:paraId="14B6D26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Потребление источника в режиме защиты АКБ от глубокого разряда  не более 10 мА.</w:t>
            </w:r>
          </w:p>
          <w:p w14:paraId="44B2612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Ток заряда для каждой АКБ при работе от сети с напряжением на АКБ не более (12,6 ± 1) В – 2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132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2CD8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3E4A952B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43B8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E8B3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Аккумулятор DTM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1212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E26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Напряжение: 12 В</w:t>
            </w:r>
          </w:p>
          <w:p w14:paraId="23139A2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Емкость: 12 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F413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620F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E71FFC" w14:paraId="18A637B0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638B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ABED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Аккумулятор DT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1207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9A8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Напряжение: 12 В</w:t>
            </w:r>
          </w:p>
          <w:p w14:paraId="1F2141E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Емкость: 7 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F7F0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A009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E71FFC" w14:paraId="6499ED77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1A2D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15E0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Оповещатель охранно-пожарный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10E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Модель: Маяк-24-К (или эквивалент)</w:t>
            </w:r>
          </w:p>
          <w:p w14:paraId="431A838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Напряжение питания постоянного тока, В 24  +3,6 −6,0</w:t>
            </w:r>
          </w:p>
          <w:p w14:paraId="6B33CE2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Номинальный ток потребления, мА</w:t>
            </w:r>
          </w:p>
          <w:p w14:paraId="3D792D7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- светового оповещателя 20±2,0 </w:t>
            </w:r>
          </w:p>
          <w:p w14:paraId="6CD168E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- звукового оповещателя 20±2,0 </w:t>
            </w:r>
          </w:p>
          <w:p w14:paraId="38B2FEE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Уровень звукового давления, дБ, не менее 105 </w:t>
            </w:r>
          </w:p>
          <w:p w14:paraId="45E99D6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Время непрерывной работы в режиме  </w:t>
            </w:r>
          </w:p>
          <w:p w14:paraId="2E47C50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«оповещение» не ограничено </w:t>
            </w:r>
          </w:p>
          <w:p w14:paraId="125E136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Степень защиты оболочки, IP 52 </w:t>
            </w:r>
          </w:p>
          <w:p w14:paraId="3E1C28C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Диапазон рабочих температур, ºС −50…+55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D8A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206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E71FFC" w14:paraId="0F1C2350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CD8B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02C4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Щит автоматического переключения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1F0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Модель: ЩАП-23</w:t>
            </w:r>
          </w:p>
          <w:p w14:paraId="1B2B212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Частота сети: 50 Гц </w:t>
            </w:r>
          </w:p>
          <w:p w14:paraId="60A3347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Число фаз: 1 </w:t>
            </w:r>
          </w:p>
          <w:p w14:paraId="7021E4D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Номинальное напряжение: 230 В </w:t>
            </w:r>
          </w:p>
          <w:p w14:paraId="5F55243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Номинальное ток: 25 А </w:t>
            </w:r>
          </w:p>
          <w:p w14:paraId="605AFB4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 корпуса изделия: 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3CC4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F59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E71FFC" w14:paraId="7FA112DF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6C09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630B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Коммутационное устройство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8BA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Модель: УК-ВК (или эквивалент)</w:t>
            </w:r>
          </w:p>
          <w:p w14:paraId="6F42DD7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Номинальное напряжение питания цепи управления 24 В </w:t>
            </w:r>
          </w:p>
          <w:p w14:paraId="7336D68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Потребляемый устройством в цепи управления при номинальном напряжении 30 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D63A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2DEF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6617261C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E82D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E73A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Витая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пара</w:t>
            </w:r>
            <w:r>
              <w:rPr>
                <w:rFonts w:cs="Times New Roman"/>
                <w:sz w:val="22"/>
                <w:szCs w:val="22"/>
              </w:rPr>
              <w:t xml:space="preserve"> F/UTP </w:t>
            </w:r>
          </w:p>
          <w:p w14:paraId="39D396F4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solid OUT PE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2E44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Тип кабеля: F/UTP</w:t>
            </w:r>
          </w:p>
          <w:p w14:paraId="580C8F9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Категория: 5e</w:t>
            </w:r>
          </w:p>
          <w:p w14:paraId="74EDBA9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Количество пар: 4</w:t>
            </w:r>
          </w:p>
          <w:p w14:paraId="5F1B52A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Тип проводника: одножильный</w:t>
            </w:r>
          </w:p>
          <w:p w14:paraId="363E7B7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 Материал проводника: чистая медь (Cu)</w:t>
            </w:r>
          </w:p>
          <w:p w14:paraId="1612E01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Условия эксплуатации: для внешней прокладки</w:t>
            </w:r>
          </w:p>
          <w:p w14:paraId="6D2CA39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Цвет: черный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60CD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7D1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1 350</w:t>
            </w:r>
          </w:p>
        </w:tc>
      </w:tr>
      <w:tr w:rsidR="00E71FFC" w14:paraId="6A552E88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EDF2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145D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Кабель силовой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F72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Соответствие требованиям ГОСТ 31996-2012 Кабели силовые с пластмассовой изоляцией на номинальное напряжение 0,66; 1 и 3 кв. Общие технические условия</w:t>
            </w:r>
          </w:p>
          <w:p w14:paraId="0FD92B9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Маркировка: ВВГнг(А)-</w:t>
            </w:r>
            <w:r>
              <w:rPr>
                <w:rFonts w:cs="Times New Roman"/>
                <w:sz w:val="22"/>
                <w:szCs w:val="22"/>
              </w:rPr>
              <w:t>LS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3х4</w:t>
            </w:r>
          </w:p>
          <w:p w14:paraId="196A484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количество токопроводящих жил -3</w:t>
            </w:r>
          </w:p>
          <w:p w14:paraId="1D6482E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сечение каждой жилы 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BA0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AA33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68</w:t>
            </w:r>
          </w:p>
        </w:tc>
      </w:tr>
      <w:tr w:rsidR="00E71FFC" w14:paraId="5A28796D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0699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0AB4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Кабель силовой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5D2D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Соответствие требованиям ГОСТ 31996-2012 Кабели силовые с пластмассовой изоляцией на номинальное напряжение 0,66; 1 и 3 кв. Общие технические условия</w:t>
            </w:r>
          </w:p>
          <w:p w14:paraId="1E0B739F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Маркировка: ВВГнг(А)-LS 3х4</w:t>
            </w:r>
          </w:p>
          <w:p w14:paraId="385F604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количество токопроводящих жил -3</w:t>
            </w:r>
          </w:p>
          <w:p w14:paraId="3DFE0CA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сечение каждой жилы -1,5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B36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EBA8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745</w:t>
            </w:r>
          </w:p>
        </w:tc>
      </w:tr>
      <w:tr w:rsidR="00E71FFC" w14:paraId="2E40F2A5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2BEE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D216D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Коробка распределительная для наружного монтажа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35E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Степень защиты: не ниже </w:t>
            </w:r>
            <w:r>
              <w:rPr>
                <w:rFonts w:cs="Times New Roman"/>
                <w:sz w:val="22"/>
                <w:szCs w:val="22"/>
              </w:rPr>
              <w:t>IP</w:t>
            </w:r>
            <w:r>
              <w:rPr>
                <w:rFonts w:cs="Times New Roman"/>
                <w:sz w:val="22"/>
                <w:szCs w:val="22"/>
                <w:lang w:val="ru-RU"/>
              </w:rPr>
              <w:t>55</w:t>
            </w:r>
          </w:p>
          <w:p w14:paraId="51A7C61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Условия эксплуатации: для внешней прокладки</w:t>
            </w:r>
          </w:p>
          <w:p w14:paraId="2C663F0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Размеры 85х85х40мм</w:t>
            </w:r>
          </w:p>
          <w:p w14:paraId="698D135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A6A0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46E7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22</w:t>
            </w:r>
          </w:p>
        </w:tc>
      </w:tr>
      <w:tr w:rsidR="00E71FFC" w14:paraId="422B18B7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7EFC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3142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Труба гофрированная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952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Диаметр наружный: 20 мм</w:t>
            </w:r>
          </w:p>
          <w:p w14:paraId="405DF3C0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Степень защиты: IP55</w:t>
            </w:r>
          </w:p>
          <w:p w14:paraId="6F5CECE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Материал: ПНД</w:t>
            </w:r>
          </w:p>
          <w:p w14:paraId="5AF875A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 зондом-соответствие</w:t>
            </w:r>
          </w:p>
          <w:p w14:paraId="08C6D36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Стойкость к УФ (прямым солнечным лучам) соответствие</w:t>
            </w:r>
          </w:p>
          <w:p w14:paraId="4EA8C553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Цвет-черный</w:t>
            </w:r>
          </w:p>
          <w:p w14:paraId="3BA6CFC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Упаковка в бухте длиной 100 метров</w:t>
            </w:r>
          </w:p>
          <w:p w14:paraId="097CE759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F8B5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F425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</w:tr>
      <w:tr w:rsidR="00E71FFC" w14:paraId="6A419223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0631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A33E2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Труба гофрированная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33C6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Диаметр наружный: 25 мм</w:t>
            </w:r>
          </w:p>
          <w:p w14:paraId="58A0287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Степень защиты: IP55</w:t>
            </w:r>
          </w:p>
          <w:p w14:paraId="133E437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Материал: ПНД</w:t>
            </w:r>
          </w:p>
          <w:p w14:paraId="56AEEFF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 зондом-соответствие</w:t>
            </w:r>
          </w:p>
          <w:p w14:paraId="1038B85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Стойкость к УФ (прямым солнечным лучам) соответствие</w:t>
            </w:r>
          </w:p>
          <w:p w14:paraId="6B059542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Цвет-черный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FE23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539E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68</w:t>
            </w:r>
          </w:p>
        </w:tc>
      </w:tr>
      <w:tr w:rsidR="00E71FFC" w14:paraId="0349B86B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3C54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46C4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Корпус металлический ЩМП-1-0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CEE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Степень защиты: не ниже </w:t>
            </w:r>
            <w:r>
              <w:rPr>
                <w:rFonts w:cs="Times New Roman"/>
                <w:sz w:val="22"/>
                <w:szCs w:val="22"/>
              </w:rPr>
              <w:t>IP</w:t>
            </w:r>
            <w:r>
              <w:rPr>
                <w:rFonts w:cs="Times New Roman"/>
                <w:sz w:val="22"/>
                <w:szCs w:val="22"/>
                <w:lang w:val="ru-RU"/>
              </w:rPr>
              <w:t>31</w:t>
            </w:r>
          </w:p>
          <w:p w14:paraId="35985DDE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Климатическое исполнение: УХЛ3</w:t>
            </w:r>
          </w:p>
          <w:p w14:paraId="3155E15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Размер: 395х310х220мм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C2B0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ABF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E71FFC" w14:paraId="569C01CE" w14:textId="77777777" w:rsidTr="00DD21E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9A7E" w14:textId="77777777" w:rsidR="00E71FFC" w:rsidRDefault="00E71FFC" w:rsidP="00DD21E9">
            <w:pPr>
              <w:pStyle w:val="a5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A168" w14:textId="77777777" w:rsidR="00E71FFC" w:rsidRDefault="00E71FFC" w:rsidP="00DD21E9">
            <w:pPr>
              <w:pStyle w:val="Standard"/>
              <w:keepNext/>
              <w:keepLines/>
              <w:widowControl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Бокс КМПн 1/2 </w:t>
            </w:r>
            <w:r>
              <w:rPr>
                <w:rFonts w:cs="Times New Roman"/>
                <w:sz w:val="22"/>
                <w:szCs w:val="22"/>
              </w:rPr>
              <w:t>PROxima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(или эквивалент)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BDCA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Арт: pbm40-nk-2 </w:t>
            </w:r>
          </w:p>
          <w:p w14:paraId="2458D244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Способ монтажа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Навесной</w:t>
            </w:r>
          </w:p>
          <w:p w14:paraId="7E874A0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Количество модулей DIN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2</w:t>
            </w:r>
          </w:p>
          <w:p w14:paraId="2730BC47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Степень защиты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IP30</w:t>
            </w:r>
          </w:p>
          <w:p w14:paraId="13B3A478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 корпуса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Абс-пластик</w:t>
            </w:r>
          </w:p>
          <w:p w14:paraId="6DB95DAB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 дверцы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Абс-пластик</w:t>
            </w:r>
          </w:p>
          <w:p w14:paraId="7B4B4D4C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Материал изделия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Пластик</w:t>
            </w:r>
          </w:p>
          <w:p w14:paraId="12E1574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Климатическое исполнение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УХЛ3</w:t>
            </w:r>
          </w:p>
          <w:p w14:paraId="69DDB2E1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Напряжение, В</w:t>
            </w:r>
            <w:r>
              <w:rPr>
                <w:rFonts w:cs="Times New Roman"/>
                <w:sz w:val="22"/>
                <w:szCs w:val="22"/>
                <w:lang w:val="ru-RU"/>
              </w:rPr>
              <w:tab/>
              <w:t>380</w:t>
            </w:r>
          </w:p>
          <w:p w14:paraId="79244025" w14:textId="77777777" w:rsidR="00E71FFC" w:rsidRDefault="00E71FFC" w:rsidP="00DD21E9">
            <w:pPr>
              <w:pStyle w:val="Standard"/>
              <w:tabs>
                <w:tab w:val="left" w:pos="0"/>
              </w:tabs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 дверцей-соответствие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C68C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D37B" w14:textId="77777777" w:rsidR="00E71FFC" w:rsidRDefault="00E71FFC" w:rsidP="00DD21E9">
            <w:pPr>
              <w:pStyle w:val="Standard"/>
              <w:tabs>
                <w:tab w:val="left" w:pos="0"/>
              </w:tabs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</w:tbl>
    <w:p w14:paraId="779F1515" w14:textId="645193A3" w:rsidR="00E71FFC" w:rsidRPr="00EE475A" w:rsidRDefault="00E71FFC" w:rsidP="00E71FFC">
      <w:pPr>
        <w:autoSpaceDN/>
        <w:jc w:val="both"/>
        <w:textAlignment w:val="auto"/>
        <w:rPr>
          <w:rFonts w:eastAsia="Times New Roman" w:cs="Times New Roman"/>
          <w:spacing w:val="1"/>
          <w:kern w:val="0"/>
          <w:lang w:val="ru-RU" w:eastAsia="ru-RU" w:bidi="ar-SA"/>
        </w:rPr>
      </w:pPr>
    </w:p>
    <w:p w14:paraId="099FA212" w14:textId="77777777" w:rsidR="00D848A9" w:rsidRPr="00EE475A" w:rsidRDefault="00D848A9" w:rsidP="00D848A9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75A">
        <w:rPr>
          <w:rFonts w:ascii="Times New Roman" w:hAnsi="Times New Roman"/>
          <w:b/>
          <w:sz w:val="24"/>
          <w:szCs w:val="24"/>
        </w:rPr>
        <w:t>Условия выполнения работ</w:t>
      </w:r>
      <w:r w:rsidRPr="00EE475A">
        <w:rPr>
          <w:rFonts w:ascii="Times New Roman" w:hAnsi="Times New Roman"/>
          <w:sz w:val="24"/>
          <w:szCs w:val="24"/>
        </w:rPr>
        <w:t xml:space="preserve">: </w:t>
      </w:r>
    </w:p>
    <w:p w14:paraId="4C19354D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 xml:space="preserve">Подрядчик самостоятельно организует работу на объекте, выполняет работу своими силами и несет ответственность за соблюдение своими сотрудниками правил и норм техники безопасности при производстве работ, работы выполняются в полном соответствии с рабочей документацией. </w:t>
      </w:r>
    </w:p>
    <w:p w14:paraId="7E1E9D9D" w14:textId="2899C98E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>Оборудование, используемое при производстве работ, до места установки поставляется комплектно, в фабричной упаковке, которая бы обеспечивала его сохранность, товарный вид, предохраняла от всякого рода повреждений при перевозке различными видами транспорта и хранении. Упаковка и маркировка поставляемого оборудования должны соответствовать установленным стандартам (или техническим условиям) и правилам транспортировки для данного вида товаров.</w:t>
      </w:r>
      <w:r w:rsidR="00E71FFC">
        <w:rPr>
          <w:lang w:val="ru-RU"/>
        </w:rPr>
        <w:t xml:space="preserve"> </w:t>
      </w:r>
    </w:p>
    <w:p w14:paraId="77919DA6" w14:textId="77F4C190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>Поставляемое оборудование, используемое при производстве работ, должно быть новым (ранее не находившимся в использовании у поставщика и (ил</w:t>
      </w:r>
      <w:r w:rsidR="00EE475A">
        <w:rPr>
          <w:lang w:val="ru-RU"/>
        </w:rPr>
        <w:t>и) у третьих лиц), не ранее 2025</w:t>
      </w:r>
      <w:r w:rsidRPr="00D848A9">
        <w:rPr>
          <w:lang w:val="ru-RU"/>
        </w:rPr>
        <w:t xml:space="preserve"> года выпуска, не должно находиться в залоге, под арестом или под иным обременением.</w:t>
      </w:r>
    </w:p>
    <w:p w14:paraId="2859CED6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 xml:space="preserve">С учетом того, что планируемые работы будут проводиться на территории в/ч 52929, в соответствии с Законом РФ от 14.07.1992 № 3297-1 «О закрытом административно-территориальном образовании» и постановлением Правительства РФ от 26.06.1998 № 655 «Об утверждении 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РФ», необходимо для соблюдения пропускного режима и беспрепятственного прохода (проезда), оформить пропуски, с согласованием в подразделении ФСБ при в/ч 52929, </w:t>
      </w:r>
      <w:r w:rsidRPr="00D848A9">
        <w:rPr>
          <w:lang w:val="ru-RU"/>
        </w:rPr>
        <w:lastRenderedPageBreak/>
        <w:t>для автотранспорта, ИТР и членов бригад.</w:t>
      </w:r>
    </w:p>
    <w:p w14:paraId="1860A004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 xml:space="preserve">По окончанию производства работ подрядчик своими силами очищает территорию в местах её проведения от строительного и иного мусора и загрязнений, производит погрузочные работы на автотранспорт и вывозит с территории войсковой части 52929 для утилизации на полигон. Договор на утилизацию данного вида отходов подрядчик заключает самостоятельно и за свой счёт. </w:t>
      </w:r>
    </w:p>
    <w:p w14:paraId="4DE77CBD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>Все комплектующие, материалы и изделия приобретаются и доставляются на место производства работ подрядчиком самостоятельно и за свой счёт. Расходы на доставку к месту проведения работ рабочего персонала и ИТР, а также их проживание и питание покрываются подрядчиком из собственных средств.</w:t>
      </w:r>
    </w:p>
    <w:p w14:paraId="44A93CD8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 xml:space="preserve">Непредвиденные работы и затраты, возникающие в ходе выполнения основного комплекса работ, производятся и финансируются за счет подрядчика. </w:t>
      </w:r>
    </w:p>
    <w:p w14:paraId="2B9010AC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>До начала работ Подрядчик обязан предоставить Заказчику список персонала, задействованного на объекте, список автотранспорта (марка, модель и государственный номер автотранспорта), осуществляющего доставку оборудования и вспомогательных материалов Подрядчика на объект.</w:t>
      </w:r>
    </w:p>
    <w:p w14:paraId="50DC6708" w14:textId="77777777" w:rsidR="00D848A9" w:rsidRPr="00D848A9" w:rsidRDefault="00D848A9" w:rsidP="00D848A9">
      <w:pPr>
        <w:shd w:val="clear" w:color="auto" w:fill="FFFFFF"/>
        <w:ind w:firstLine="709"/>
        <w:jc w:val="both"/>
        <w:rPr>
          <w:lang w:val="ru-RU"/>
        </w:rPr>
      </w:pPr>
      <w:r w:rsidRPr="00D848A9">
        <w:rPr>
          <w:lang w:val="ru-RU"/>
        </w:rPr>
        <w:t>Подрядчик обязан соблюдать правила привлечения и использования иностранной и иногородней рабочей силы, установленные законодательством Российской Федерации и нормативными правовыми актами субъекта Российской Федерации.</w:t>
      </w:r>
    </w:p>
    <w:p w14:paraId="0CF27AF4" w14:textId="77777777" w:rsidR="00D848A9" w:rsidRDefault="00D848A9" w:rsidP="00D848A9">
      <w:pPr>
        <w:autoSpaceDE w:val="0"/>
        <w:ind w:left="34" w:firstLine="651"/>
        <w:jc w:val="both"/>
        <w:rPr>
          <w:b/>
          <w:lang w:val="ru-RU"/>
        </w:rPr>
      </w:pPr>
      <w:r w:rsidRPr="00D848A9">
        <w:rPr>
          <w:lang w:val="ru-RU"/>
        </w:rPr>
        <w:t>По завершении работ Подрядчик обязан предоставить Заказчику исполнительную документацию на выполненные работы.</w:t>
      </w:r>
      <w:r w:rsidRPr="00D848A9">
        <w:rPr>
          <w:b/>
          <w:lang w:val="ru-RU"/>
        </w:rPr>
        <w:t xml:space="preserve"> </w:t>
      </w:r>
    </w:p>
    <w:p w14:paraId="19A68B2B" w14:textId="77777777" w:rsidR="00EE475A" w:rsidRPr="00EE475A" w:rsidRDefault="00D848A9" w:rsidP="00EE475A">
      <w:pPr>
        <w:autoSpaceDE w:val="0"/>
        <w:ind w:left="34" w:firstLine="651"/>
        <w:jc w:val="both"/>
        <w:rPr>
          <w:lang w:val="ru-RU"/>
        </w:rPr>
      </w:pPr>
      <w:r w:rsidRPr="00D848A9">
        <w:rPr>
          <w:b/>
          <w:lang w:val="ru-RU"/>
        </w:rPr>
        <w:t xml:space="preserve">Порядок контроля и приемки: </w:t>
      </w:r>
      <w:r w:rsidR="00EE475A" w:rsidRPr="00EE475A">
        <w:rPr>
          <w:lang w:val="ru-RU"/>
        </w:rPr>
        <w:t>Контроль выполнения работ производится представителями Заказчика и Подрядчика.</w:t>
      </w:r>
    </w:p>
    <w:p w14:paraId="7AAFF229" w14:textId="77777777" w:rsidR="00EE475A" w:rsidRDefault="00EE475A" w:rsidP="00EE475A">
      <w:pPr>
        <w:autoSpaceDE w:val="0"/>
        <w:ind w:left="34" w:firstLine="675"/>
        <w:jc w:val="both"/>
        <w:rPr>
          <w:lang w:val="ru-RU"/>
        </w:rPr>
      </w:pPr>
      <w:r w:rsidRPr="00EE475A">
        <w:rPr>
          <w:lang w:val="ru-RU"/>
        </w:rPr>
        <w:t>Обязательным условием приемки результатов выполненных работ является предоставление исполнительной документации в 2-х экземплярах на бумажном носителе, протоколов испытаний и измерений (отчет о проведённых пусконаладочных работах), актов скрытых работ, сертификатов и паспортов на материалы и оборудование.</w:t>
      </w:r>
    </w:p>
    <w:p w14:paraId="1071A27C" w14:textId="74968DAE" w:rsidR="00EE475A" w:rsidRDefault="00EE475A" w:rsidP="00EE475A">
      <w:pPr>
        <w:autoSpaceDE w:val="0"/>
        <w:ind w:left="34" w:firstLine="675"/>
        <w:jc w:val="both"/>
        <w:rPr>
          <w:lang w:val="ru-RU"/>
        </w:rPr>
      </w:pPr>
      <w:r w:rsidRPr="00EE475A">
        <w:rPr>
          <w:lang w:val="ru-RU"/>
        </w:rPr>
        <w:t>Приемка работ по всему предусмотренному объёму работ осу</w:t>
      </w:r>
      <w:r w:rsidR="001B726F">
        <w:rPr>
          <w:lang w:val="ru-RU"/>
        </w:rPr>
        <w:t>ществляется комиссией, состоящей</w:t>
      </w:r>
      <w:r w:rsidRPr="00EE475A">
        <w:rPr>
          <w:lang w:val="ru-RU"/>
        </w:rPr>
        <w:t xml:space="preserve"> из представителей Подрядчика, Заказчика с оформлением документов о приемке. Приёмочная комиссия приступает к работе после письменного уведомления Подрядчика об окончании работ. Приёмка работ осуществляется при условии передачи Заказчику полного комплекта исполнительной документации, выполненной в соответствии с действующими государственными стандартами, требованиями нормативно-технической и организационно-распорядительной документации.</w:t>
      </w:r>
    </w:p>
    <w:p w14:paraId="52714C31" w14:textId="4AEA0FEC" w:rsidR="0025384A" w:rsidRDefault="00534E8A" w:rsidP="00EE475A">
      <w:pPr>
        <w:autoSpaceDE w:val="0"/>
        <w:ind w:left="34" w:firstLine="675"/>
        <w:jc w:val="both"/>
        <w:rPr>
          <w:b/>
          <w:lang w:val="ru-RU"/>
        </w:rPr>
      </w:pPr>
      <w:r>
        <w:rPr>
          <w:b/>
          <w:lang w:val="ru-RU"/>
        </w:rPr>
        <w:t>Требования к сроку и (или) объему предоставления гарантий качества:</w:t>
      </w:r>
    </w:p>
    <w:p w14:paraId="2F509881" w14:textId="665C114F" w:rsidR="00D848A9" w:rsidRDefault="00D848A9" w:rsidP="00EE475A">
      <w:pPr>
        <w:autoSpaceDE w:val="0"/>
        <w:ind w:left="34" w:firstLine="675"/>
        <w:jc w:val="both"/>
        <w:rPr>
          <w:rFonts w:eastAsia="Times New Roman"/>
          <w:color w:val="000000"/>
          <w:shd w:val="clear" w:color="auto" w:fill="FFFFFF"/>
          <w:lang w:val="ru-RU"/>
        </w:rPr>
      </w:pPr>
      <w:r w:rsidRPr="00D848A9">
        <w:rPr>
          <w:rFonts w:eastAsia="Times New Roman"/>
          <w:color w:val="000000"/>
          <w:shd w:val="clear" w:color="auto" w:fill="FFFFFF"/>
          <w:lang w:val="ru-RU"/>
        </w:rPr>
        <w:t>Гарантия на выполненные работы – 12 (двенадцать) месяцев со дня приемки работ Заказчиком.</w:t>
      </w:r>
    </w:p>
    <w:p w14:paraId="38A8E6A4" w14:textId="77777777" w:rsidR="00EE475A" w:rsidRPr="00EE475A" w:rsidRDefault="00EE475A" w:rsidP="00EE475A">
      <w:pPr>
        <w:pStyle w:val="Textbody"/>
        <w:keepNext/>
        <w:keepLines/>
        <w:spacing w:after="0"/>
        <w:ind w:firstLine="675"/>
        <w:jc w:val="both"/>
        <w:rPr>
          <w:rFonts w:eastAsia="Times New Roman"/>
          <w:color w:val="000000"/>
          <w:shd w:val="clear" w:color="auto" w:fill="FFFFFF"/>
          <w:lang w:val="ru-RU"/>
        </w:rPr>
      </w:pPr>
      <w:r w:rsidRPr="00EE475A">
        <w:rPr>
          <w:rFonts w:eastAsia="Times New Roman"/>
          <w:color w:val="000000"/>
          <w:shd w:val="clear" w:color="auto" w:fill="FFFFFF"/>
          <w:lang w:val="ru-RU"/>
        </w:rPr>
        <w:t>Если в течение гарантийного срока выявится, что качество выполненных по настоящему договору работ или материалов не соответствует требованиям документации, работы выполнены Подрядчиком с отступлениями, ухудшившими результат работы, с иными недостатками, которые делают объект работ непригодным для нормальной эксплуатации, Заказчик обязан письменно заявить о них Подрядчику и потребовать от Подрядчика безвозмездного устранения недостатков.</w:t>
      </w:r>
    </w:p>
    <w:p w14:paraId="42A4FB7E" w14:textId="77777777" w:rsidR="00EE475A" w:rsidRPr="00EE475A" w:rsidRDefault="00EE475A" w:rsidP="00EE475A">
      <w:pPr>
        <w:pStyle w:val="Textbody"/>
        <w:keepNext/>
        <w:keepLines/>
        <w:spacing w:after="0"/>
        <w:ind w:firstLine="675"/>
        <w:jc w:val="both"/>
        <w:rPr>
          <w:rFonts w:eastAsia="Times New Roman"/>
          <w:color w:val="000000"/>
          <w:shd w:val="clear" w:color="auto" w:fill="FFFFFF"/>
          <w:lang w:val="ru-RU"/>
        </w:rPr>
      </w:pPr>
      <w:r w:rsidRPr="00EE475A">
        <w:rPr>
          <w:rFonts w:eastAsia="Times New Roman"/>
          <w:color w:val="000000"/>
          <w:shd w:val="clear" w:color="auto" w:fill="FFFFFF"/>
          <w:lang w:val="ru-RU"/>
        </w:rPr>
        <w:t xml:space="preserve">В случае выявления в течение гарантийного срока дефектов, образовавшихся по вине Подрядчика, последний обязан устранить дефекты и выполнить за свой счет гарантийный ремонт в течение 20 (двадцати) рабочих дней с момента уведомления, при этом гарантийный срок продлевается на период устранения недостатков. </w:t>
      </w:r>
    </w:p>
    <w:p w14:paraId="7645812B" w14:textId="3427CA8D" w:rsidR="00EE475A" w:rsidRDefault="00EE475A" w:rsidP="00EE475A">
      <w:pPr>
        <w:pStyle w:val="Textbody"/>
        <w:keepNext/>
        <w:keepLines/>
        <w:spacing w:after="0"/>
        <w:ind w:firstLine="675"/>
        <w:jc w:val="both"/>
        <w:rPr>
          <w:b/>
          <w:lang w:val="ru-RU"/>
        </w:rPr>
      </w:pPr>
      <w:r w:rsidRPr="00EE475A">
        <w:rPr>
          <w:rFonts w:eastAsia="Times New Roman"/>
          <w:color w:val="000000"/>
          <w:shd w:val="clear" w:color="auto" w:fill="FFFFFF"/>
          <w:lang w:val="ru-RU"/>
        </w:rPr>
        <w:t>Срок гарантии на материалы устанавливается в соответствии с гарантийным сроком производителя, но не менее 12 (двенадцати) месяцев со дня подписания акта приемки выполненных работ.</w:t>
      </w:r>
      <w:r w:rsidR="00534E8A">
        <w:rPr>
          <w:b/>
          <w:lang w:val="ru-RU"/>
        </w:rPr>
        <w:tab/>
      </w:r>
    </w:p>
    <w:p w14:paraId="587C96D3" w14:textId="77777777" w:rsidR="004C4D22" w:rsidRPr="004C4D22" w:rsidRDefault="004C4D22" w:rsidP="004C4D22">
      <w:pPr>
        <w:keepNext/>
        <w:keepLines/>
        <w:ind w:firstLine="709"/>
        <w:jc w:val="both"/>
        <w:rPr>
          <w:rFonts w:ascii="Calibri" w:eastAsia="Calibri" w:hAnsi="Calibri" w:cs="Times New Roman"/>
          <w:kern w:val="0"/>
          <w:lang w:val="ru-RU" w:eastAsia="zh-CN" w:bidi="ar-SA"/>
        </w:rPr>
      </w:pPr>
      <w:r w:rsidRPr="004C4D22">
        <w:rPr>
          <w:rFonts w:eastAsia="Calibri" w:cs="Times New Roman"/>
          <w:b/>
          <w:kern w:val="0"/>
          <w:lang w:val="ru-RU" w:eastAsia="zh-CN" w:bidi="ar-SA"/>
        </w:rPr>
        <w:t>Срок и условия оплаты работ</w:t>
      </w:r>
      <w:r w:rsidRPr="004C4D22">
        <w:rPr>
          <w:rFonts w:eastAsia="Calibri" w:cs="Times New Roman"/>
          <w:kern w:val="0"/>
          <w:lang w:val="ru-RU" w:eastAsia="zh-CN" w:bidi="ar-SA"/>
        </w:rPr>
        <w:t>: Оплата производится в безналичном порядке путем перечисления Заказчиком денежных средств на указанный в договоре расчетный счет Подрядчика.</w:t>
      </w:r>
    </w:p>
    <w:p w14:paraId="1FD866E6" w14:textId="05102528" w:rsidR="004C4D22" w:rsidRPr="004C4D22" w:rsidRDefault="004C4D22" w:rsidP="004C4D22">
      <w:pPr>
        <w:tabs>
          <w:tab w:val="left" w:pos="0"/>
        </w:tabs>
        <w:autoSpaceDN/>
        <w:ind w:firstLine="709"/>
        <w:jc w:val="both"/>
        <w:textAlignment w:val="auto"/>
        <w:rPr>
          <w:rFonts w:eastAsia="Calibri" w:cs="Times New Roman"/>
          <w:kern w:val="0"/>
          <w:lang w:val="ru-RU" w:eastAsia="zh-CN" w:bidi="ar-SA"/>
        </w:rPr>
      </w:pPr>
      <w:r w:rsidRPr="004C4D22">
        <w:rPr>
          <w:rFonts w:eastAsia="Calibri" w:cs="Times New Roman"/>
          <w:kern w:val="0"/>
          <w:lang w:val="ru-RU" w:eastAsia="zh-CN" w:bidi="ar-SA"/>
        </w:rPr>
        <w:t xml:space="preserve">Оплата выполненных работ осуществляется согласно фактически выполненных </w:t>
      </w:r>
      <w:r w:rsidRPr="004C4D22">
        <w:rPr>
          <w:rFonts w:eastAsia="Calibri" w:cs="Times New Roman"/>
          <w:kern w:val="0"/>
          <w:lang w:val="ru-RU" w:eastAsia="zh-CN" w:bidi="ar-SA"/>
        </w:rPr>
        <w:lastRenderedPageBreak/>
        <w:t>объемов работ по договору на основании актов приемки выполненных работ, счета/</w:t>
      </w:r>
      <w:r>
        <w:rPr>
          <w:rFonts w:eastAsia="Calibri" w:cs="Times New Roman"/>
          <w:kern w:val="0"/>
          <w:lang w:val="ru-RU" w:eastAsia="zh-CN" w:bidi="ar-SA"/>
        </w:rPr>
        <w:t>универсально-передаточного документа (УПД)</w:t>
      </w:r>
      <w:r w:rsidRPr="004C4D22">
        <w:rPr>
          <w:rFonts w:eastAsia="Calibri" w:cs="Times New Roman"/>
          <w:kern w:val="0"/>
          <w:lang w:val="ru-RU" w:eastAsia="zh-CN" w:bidi="ar-SA"/>
        </w:rPr>
        <w:t xml:space="preserve">, предоставленных Подрядчиком и подписанных обеими Сторонами, в течение 7 (семи) рабочих дней с даты подписания Заказчиком документа о приемке работ.  </w:t>
      </w:r>
    </w:p>
    <w:p w14:paraId="776A6C23" w14:textId="77777777" w:rsidR="00EE475A" w:rsidRPr="00EE475A" w:rsidRDefault="00EE475A" w:rsidP="00EE475A">
      <w:pPr>
        <w:tabs>
          <w:tab w:val="left" w:pos="0"/>
        </w:tabs>
        <w:autoSpaceDN/>
        <w:ind w:firstLine="709"/>
        <w:jc w:val="both"/>
        <w:textAlignment w:val="auto"/>
        <w:rPr>
          <w:rFonts w:eastAsia="Calibri" w:cs="Times New Roman"/>
          <w:kern w:val="0"/>
          <w:lang w:val="x-none" w:eastAsia="zh-CN" w:bidi="ar-SA"/>
        </w:rPr>
      </w:pPr>
      <w:r w:rsidRPr="004C4D22">
        <w:rPr>
          <w:rFonts w:eastAsia="Calibri" w:cs="Times New Roman"/>
          <w:b/>
          <w:kern w:val="0"/>
          <w:lang w:val="x-none" w:eastAsia="zh-CN" w:bidi="ar-SA"/>
        </w:rPr>
        <w:t>Технологии и способы выполнения работ</w:t>
      </w:r>
      <w:r w:rsidRPr="00EE475A">
        <w:rPr>
          <w:rFonts w:eastAsia="Calibri" w:cs="Times New Roman"/>
          <w:b/>
          <w:kern w:val="0"/>
          <w:lang w:val="x-none" w:eastAsia="zh-CN" w:bidi="ar-SA"/>
        </w:rPr>
        <w:t xml:space="preserve"> должны соответствовать</w:t>
      </w:r>
      <w:r w:rsidRPr="00EE475A">
        <w:rPr>
          <w:rFonts w:eastAsia="Calibri" w:cs="Times New Roman"/>
          <w:kern w:val="0"/>
          <w:lang w:val="x-none" w:eastAsia="zh-CN" w:bidi="ar-SA"/>
        </w:rPr>
        <w:t xml:space="preserve"> действующему законодательству Российской Федерации в области строительства, действующим строительным нормам и правилам Российской Федерации (СНиП) и государственным стандартам Российской Федерации в области строительства (ГОСТ), территориальным строительным нормам (ТСН), учитывая условия по обеспечению пожаробезопасности, охраны труда и техники безопасности на период ремонтных работ и эксплуатации. </w:t>
      </w:r>
    </w:p>
    <w:p w14:paraId="48C363B0" w14:textId="77777777" w:rsidR="00EE475A" w:rsidRPr="00EE475A" w:rsidRDefault="00EE475A" w:rsidP="00EE475A">
      <w:pPr>
        <w:tabs>
          <w:tab w:val="left" w:pos="0"/>
        </w:tabs>
        <w:autoSpaceDN/>
        <w:ind w:firstLine="709"/>
        <w:jc w:val="both"/>
        <w:textAlignment w:val="auto"/>
        <w:rPr>
          <w:rFonts w:eastAsia="Calibri" w:cs="Times New Roman"/>
          <w:kern w:val="0"/>
          <w:lang w:val="ru-RU" w:eastAsia="zh-CN" w:bidi="ar-SA"/>
        </w:rPr>
      </w:pPr>
      <w:r w:rsidRPr="00EE475A">
        <w:rPr>
          <w:rFonts w:eastAsia="Calibri" w:cs="Times New Roman"/>
          <w:b/>
          <w:kern w:val="0"/>
          <w:shd w:val="clear" w:color="auto" w:fill="FFFFFF"/>
          <w:lang w:val="ru-RU" w:eastAsia="zh-CN" w:bidi="ar-SA"/>
        </w:rPr>
        <w:t>Требования к энергетической эффективности работ и товаров, используемых при выполнении работ:</w:t>
      </w:r>
      <w:r w:rsidRPr="00EE475A">
        <w:rPr>
          <w:rFonts w:eastAsia="Calibri" w:cs="Times New Roman"/>
          <w:kern w:val="0"/>
          <w:lang w:val="ru-RU" w:eastAsia="zh-CN" w:bidi="ar-SA"/>
        </w:rPr>
        <w:t xml:space="preserve"> Подрядчик должен выбирать оптимальные технологические, конструктивные и инженерно-технические решения, которые позволят исключить не рациональный расход энергетических ресурсов в процессе выполнения работ. </w:t>
      </w:r>
    </w:p>
    <w:p w14:paraId="3704E39F" w14:textId="7A6E601F" w:rsidR="0025384A" w:rsidRPr="0010367F" w:rsidRDefault="0025384A" w:rsidP="00EE475A">
      <w:pPr>
        <w:pStyle w:val="Textbody"/>
        <w:keepNext/>
        <w:keepLines/>
        <w:spacing w:after="0"/>
        <w:ind w:firstLine="709"/>
        <w:jc w:val="both"/>
        <w:rPr>
          <w:lang w:val="ru-RU"/>
        </w:rPr>
      </w:pPr>
    </w:p>
    <w:sectPr w:rsidR="0025384A" w:rsidRPr="0010367F" w:rsidSect="00401DA3"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C4CF2" w14:textId="77777777" w:rsidR="00535EB3" w:rsidRDefault="00535EB3">
      <w:r>
        <w:separator/>
      </w:r>
    </w:p>
  </w:endnote>
  <w:endnote w:type="continuationSeparator" w:id="0">
    <w:p w14:paraId="11EE513D" w14:textId="77777777" w:rsidR="00535EB3" w:rsidRDefault="0053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46DAA" w14:textId="77777777" w:rsidR="00535EB3" w:rsidRDefault="00535EB3">
      <w:r>
        <w:rPr>
          <w:color w:val="000000"/>
        </w:rPr>
        <w:separator/>
      </w:r>
    </w:p>
  </w:footnote>
  <w:footnote w:type="continuationSeparator" w:id="0">
    <w:p w14:paraId="1690B32F" w14:textId="77777777" w:rsidR="00535EB3" w:rsidRDefault="0053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64E74"/>
    <w:multiLevelType w:val="hybridMultilevel"/>
    <w:tmpl w:val="41769E12"/>
    <w:lvl w:ilvl="0" w:tplc="ECA63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08652A"/>
    <w:multiLevelType w:val="hybridMultilevel"/>
    <w:tmpl w:val="DA36E6A8"/>
    <w:lvl w:ilvl="0" w:tplc="A37077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4A"/>
    <w:rsid w:val="000663B0"/>
    <w:rsid w:val="0010367F"/>
    <w:rsid w:val="00171A00"/>
    <w:rsid w:val="001B726F"/>
    <w:rsid w:val="001E0721"/>
    <w:rsid w:val="001E09BA"/>
    <w:rsid w:val="00227BB4"/>
    <w:rsid w:val="0025384A"/>
    <w:rsid w:val="003E2BD8"/>
    <w:rsid w:val="003E5246"/>
    <w:rsid w:val="00401DA3"/>
    <w:rsid w:val="004C17DF"/>
    <w:rsid w:val="004C18C4"/>
    <w:rsid w:val="004C4D22"/>
    <w:rsid w:val="004C6C02"/>
    <w:rsid w:val="00534E8A"/>
    <w:rsid w:val="00535EB3"/>
    <w:rsid w:val="005C3000"/>
    <w:rsid w:val="005D1816"/>
    <w:rsid w:val="0073131E"/>
    <w:rsid w:val="00752C88"/>
    <w:rsid w:val="00861896"/>
    <w:rsid w:val="00917030"/>
    <w:rsid w:val="00A4487F"/>
    <w:rsid w:val="00A63623"/>
    <w:rsid w:val="00BB75AE"/>
    <w:rsid w:val="00BD19F3"/>
    <w:rsid w:val="00BF17CE"/>
    <w:rsid w:val="00C605FE"/>
    <w:rsid w:val="00CD6216"/>
    <w:rsid w:val="00D717F4"/>
    <w:rsid w:val="00D848A9"/>
    <w:rsid w:val="00E71FFC"/>
    <w:rsid w:val="00EE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83AC"/>
  <w15:docId w15:val="{A123CE6A-5103-4388-99EF-1BE47CFE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val="ru-RU" w:eastAsia="zh-CN" w:bidi="ar-SA"/>
    </w:rPr>
  </w:style>
  <w:style w:type="paragraph" w:styleId="a5">
    <w:name w:val="Normal (Web)"/>
    <w:basedOn w:val="Standard"/>
    <w:pPr>
      <w:spacing w:before="280" w:after="280"/>
    </w:pPr>
  </w:style>
  <w:style w:type="paragraph" w:styleId="a6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7">
    <w:name w:val="Hyperlink"/>
    <w:basedOn w:val="a0"/>
    <w:rPr>
      <w:color w:val="0563C1"/>
      <w:u w:val="single"/>
    </w:rPr>
  </w:style>
  <w:style w:type="paragraph" w:styleId="a8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C605FE"/>
  </w:style>
  <w:style w:type="paragraph" w:styleId="aa">
    <w:name w:val="Body Text"/>
    <w:basedOn w:val="a"/>
    <w:link w:val="ab"/>
    <w:rsid w:val="00D848A9"/>
    <w:pPr>
      <w:widowControl/>
      <w:autoSpaceDN/>
      <w:spacing w:after="140" w:line="288" w:lineRule="auto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zh-CN" w:bidi="ar-SA"/>
    </w:rPr>
  </w:style>
  <w:style w:type="character" w:customStyle="1" w:styleId="ab">
    <w:name w:val="Основной текст Знак"/>
    <w:basedOn w:val="a0"/>
    <w:link w:val="aa"/>
    <w:rsid w:val="00D848A9"/>
    <w:rPr>
      <w:rFonts w:ascii="Calibri" w:eastAsia="Calibri" w:hAnsi="Calibri" w:cs="Times New Roman"/>
      <w:kern w:val="0"/>
      <w:sz w:val="22"/>
      <w:szCs w:val="22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2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3412755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316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212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9727591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9586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475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3227047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2010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 Михаил Сергеевич</dc:creator>
  <cp:lastModifiedBy>Яна Команденко</cp:lastModifiedBy>
  <cp:revision>6</cp:revision>
  <cp:lastPrinted>2026-07-29T06:46:00Z</cp:lastPrinted>
  <dcterms:created xsi:type="dcterms:W3CDTF">2026-07-23T02:31:00Z</dcterms:created>
  <dcterms:modified xsi:type="dcterms:W3CDTF">2026-07-29T06:50:00Z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