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709"/>
        <w:jc w:val="both"/>
        <w:spacing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lang w:eastAsia="ru-RU"/>
        </w:rPr>
      </w: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УТВЕ‌‌⁠﻿‌⁠⁠﻿‌﻿​​‍‌​​‍​‍‌​﻿​﻿‌‌⁠​‍‌‌​​﻿‍‍​﻿‍⁠﻿‍‌﻿РЖДАЮ</w:t>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МАУК "ЦКС" </w:t>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Дире‍‌⁠‍﻿⁠﻿⁠​⁠‍⁠‍​​⁠‌‍‌⁠​‌‍⁠​‍⁠‌‍﻿​‍‌‌‍​​‍﻿‍‍﻿‌﻿ктор</w:t>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Иллеш</w:t>
      </w:r>
      <w:r>
        <w:rPr>
          <w:rFonts w:ascii="Times New Roman" w:hAnsi="Times New Roman" w:eastAsia="Times New Roman" w:cs="Times New Roman"/>
          <w:b/>
          <w:bCs/>
          <w:lang w:eastAsia="ru-RU"/>
        </w:rPr>
        <w:t xml:space="preserve"> Лилия Николаевна </w:t>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17.08</w:t>
      </w:r>
      <w:r>
        <w:rPr>
          <w:rFonts w:ascii="Times New Roman" w:hAnsi="Times New Roman" w:eastAsia="Times New Roman" w:cs="Times New Roman"/>
          <w:b/>
          <w:bCs/>
          <w:lang w:eastAsia="ru-RU"/>
        </w:rPr>
        <w:t xml:space="preserve">.2026 г.</w:t>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ind w:left="456"/>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ИЗВЕ⁠⁠‍‌⁠﻿﻿‍‍‍‌﻿‌‍﻿‍‌‍‍​‌​​‌‌﻿​⁠​​⁠⁠‍​‍⁠‌‌⁠‍﻿‍‌​ЩЕНИЕ</w:t>
      </w:r>
      <w:r>
        <w:rPr>
          <w:rStyle w:val="1015"/>
          <w:rFonts w:ascii="Times New Roman" w:hAnsi="Times New Roman" w:eastAsia="Times New Roman" w:cs="Times New Roman"/>
          <w:b/>
          <w:bCs/>
          <w:lang w:eastAsia="ru-RU"/>
        </w:rPr>
        <w:footnoteReference w:id="2"/>
      </w:r>
      <w:r>
        <w:rPr>
          <w:rFonts w:ascii="Times New Roman" w:hAnsi="Times New Roman" w:eastAsia="Times New Roman" w:cs="Times New Roman"/>
          <w:b/>
          <w:bCs/>
          <w:lang w:eastAsia="ru-RU"/>
        </w:rPr>
        <w:t xml:space="preserve"> О ПРОВЕДЕНИИ </w:t>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ЗАПРОСА КОТИРОВОК В ЭЛЕКТРОННОЙ ФОРМЕ</w:t>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Calibri" w:cs="Times New Roman"/>
          <w:b/>
          <w:bCs/>
          <w:color w:val="000000"/>
        </w:rPr>
      </w:pPr>
      <w:r>
        <w:rPr>
          <w:rFonts w:ascii="Times New Roman" w:hAnsi="Times New Roman" w:eastAsia="Calibri" w:cs="Times New Roman"/>
          <w:b/>
          <w:bCs/>
          <w:color w:val="000000"/>
        </w:rPr>
        <w:t xml:space="preserve">на право заключения договора</w:t>
      </w:r>
      <w:r>
        <w:rPr>
          <w:rFonts w:ascii="Times New Roman" w:hAnsi="Times New Roman" w:eastAsia="Calibri" w:cs="Times New Roman"/>
          <w:b/>
          <w:bCs/>
          <w:color w:val="000000"/>
        </w:rPr>
        <w:t xml:space="preserve"> на</w:t>
      </w:r>
      <w:r>
        <w:rPr>
          <w:rFonts w:ascii="Times New Roman" w:hAnsi="Times New Roman" w:eastAsia="Calibri" w:cs="Times New Roman"/>
          <w:b/>
          <w:bCs/>
          <w:color w:val="000000"/>
        </w:rPr>
        <w:t xml:space="preserve"> </w:t>
      </w:r>
      <w:r>
        <w:rPr>
          <w:rFonts w:ascii="Times New Roman" w:hAnsi="Times New Roman" w:eastAsia="Times New Roman" w:cs="Times New Roman"/>
          <w:b/>
          <w:bCs/>
          <w:color w:val="000000"/>
          <w:shd w:val="clear" w:color="auto" w:fill="ffffff"/>
          <w:lang w:eastAsia="ru-RU"/>
        </w:rPr>
        <w:t xml:space="preserve">оказание</w:t>
      </w:r>
      <w:r>
        <w:rPr>
          <w:rFonts w:ascii="Times New Roman" w:hAnsi="Times New Roman" w:eastAsia="Times New Roman" w:cs="Times New Roman"/>
          <w:b/>
          <w:bCs/>
          <w:color w:val="000000"/>
          <w:shd w:val="clear" w:color="auto" w:fill="ffffff"/>
          <w:lang w:eastAsia="ru-RU"/>
        </w:rPr>
        <w:t xml:space="preserve"> </w:t>
      </w:r>
      <w:r>
        <w:rPr>
          <w:rFonts w:ascii="Times New Roman" w:hAnsi="Times New Roman" w:eastAsia="Times New Roman" w:cs="Times New Roman"/>
          <w:b/>
          <w:bCs/>
          <w:color w:val="000000"/>
          <w:shd w:val="clear" w:color="auto" w:fill="ffffff"/>
          <w:lang w:eastAsia="ru-RU"/>
        </w:rPr>
        <w:t xml:space="preserve">услуг</w:t>
      </w:r>
      <w:r>
        <w:rPr>
          <w:rFonts w:ascii="Times New Roman" w:hAnsi="Times New Roman" w:eastAsia="Times New Roman" w:cs="Times New Roman"/>
          <w:b/>
          <w:bCs/>
          <w:color w:val="000000"/>
          <w:shd w:val="clear" w:color="auto" w:fill="ffffff"/>
          <w:lang w:eastAsia="ru-RU"/>
        </w:rPr>
        <w:t xml:space="preserve"> </w:t>
      </w:r>
      <w:r>
        <w:rPr>
          <w:rFonts w:ascii="Times New Roman" w:hAnsi="Times New Roman" w:eastAsia="Times New Roman" w:cs="Times New Roman"/>
          <w:b/>
          <w:bCs/>
          <w:color w:val="000000"/>
          <w:shd w:val="clear" w:color="auto" w:fill="ffffff"/>
          <w:lang w:eastAsia="ru-RU"/>
        </w:rPr>
        <w:t xml:space="preserve">гардеробщиков</w:t>
      </w:r>
      <w:r>
        <w:rPr>
          <w:rFonts w:ascii="Times New Roman" w:hAnsi="Times New Roman" w:eastAsia="Calibri" w:cs="Times New Roman"/>
          <w:b/>
          <w:bCs/>
          <w:color w:val="000000"/>
        </w:rPr>
      </w:r>
      <w:r>
        <w:rPr>
          <w:rFonts w:ascii="Times New Roman" w:hAnsi="Times New Roman" w:eastAsia="Calibri" w:cs="Times New Roman"/>
          <w:b/>
          <w:bCs/>
          <w:color w:val="000000"/>
        </w:rPr>
      </w:r>
    </w:p>
    <w:p>
      <w:pPr>
        <w:jc w:val="both"/>
        <w:spacing w:after="0" w:line="240" w:lineRule="auto"/>
        <w:widowControl w:val="off"/>
        <w:rPr>
          <w:rFonts w:ascii="Times New Roman" w:hAnsi="Times New Roman" w:eastAsia="Calibri" w:cs="Times New Roman"/>
          <w:b/>
          <w:bCs/>
          <w:color w:val="000000"/>
        </w:rPr>
      </w:pPr>
      <w:r>
        <w:rPr>
          <w:rFonts w:ascii="Times New Roman" w:hAnsi="Times New Roman" w:eastAsia="Calibri" w:cs="Times New Roman"/>
          <w:b/>
          <w:bCs/>
          <w:color w:val="000000"/>
        </w:rPr>
      </w:r>
      <w:r>
        <w:rPr>
          <w:rFonts w:ascii="Times New Roman" w:hAnsi="Times New Roman" w:eastAsia="Calibri" w:cs="Times New Roman"/>
          <w:b/>
          <w:bCs/>
          <w:color w:val="000000"/>
        </w:rPr>
      </w:r>
      <w:r>
        <w:rPr>
          <w:rFonts w:ascii="Times New Roman" w:hAnsi="Times New Roman" w:eastAsia="Calibri" w:cs="Times New Roman"/>
          <w:b/>
          <w:bCs/>
          <w:color w:val="000000"/>
        </w:rPr>
      </w:r>
    </w:p>
    <w:p>
      <w:pPr>
        <w:jc w:val="both"/>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both"/>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both"/>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center"/>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color w:val="000000"/>
          <w:lang w:eastAsia="ru-RU"/>
        </w:rPr>
        <w:br w:type="page" w:clear="all"/>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ОСНОВНЫЕ ТЕРМИНЫ И ИХ СОКРАЩЕНИЯ, ПРИМЕНЯЕМЫЕ</w:t>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В ИЗВЕЩЕНИИ О ПРОВЕДЕНИИ ЗАПРОСА КОТИРОВОК В ЭЛЕКТРОННОЙ ФОРМЕ.</w:t>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jc w:val="both"/>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lang w:eastAsia="ru-RU"/>
        </w:rPr>
        <w:t xml:space="preserve">Федеральный закон от 18 июля 2011 г. № 223-ФЗ «О закупках товаров, работ, услуг отдельными видами юридических лиц» (далее - Закон № 223-ФЗ)</w:t>
      </w:r>
      <w:r>
        <w:rPr>
          <w:rFonts w:ascii="Times New Roman" w:hAnsi="Times New Roman" w:eastAsia="Times New Roman" w:cs="Times New Roman"/>
          <w:iCs/>
          <w:lang w:eastAsia="ru-RU"/>
        </w:rPr>
        <w:t xml:space="preserve">. Все термины и понятия, используемые в настоящем извещении о проведении запроса котировок в электронной форме (далее – запрос котировок, запрос котировок в электронной форме, закупка),</w:t>
      </w:r>
      <w:r>
        <w:rPr>
          <w:rFonts w:ascii="Times New Roman" w:hAnsi="Times New Roman" w:eastAsia="Calibri" w:cs="Times New Roman"/>
        </w:rPr>
        <w:t xml:space="preserve"> </w:t>
      </w:r>
      <w:r>
        <w:rPr>
          <w:rFonts w:ascii="Times New Roman" w:hAnsi="Times New Roman" w:eastAsia="Times New Roman" w:cs="Times New Roman"/>
          <w:iCs/>
          <w:lang w:eastAsia="ru-RU"/>
        </w:rPr>
        <w:t xml:space="preserve">(далее – извещение, документация), трактуются в соответствии с Законом № 223-ФЗ.</w:t>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t xml:space="preserve">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Calibri" w:cs="Times New Roman"/>
        </w:rPr>
      </w:pPr>
      <w:r>
        <w:rPr>
          <w:rFonts w:ascii="Times New Roman" w:hAnsi="Times New Roman" w:eastAsia="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Pr>
          <w:rFonts w:ascii="Times New Roman" w:hAnsi="Times New Roman" w:eastAsia="Times New Roman" w:cs="Times New Roman"/>
          <w:lang w:eastAsia="ru-RU"/>
        </w:rPr>
        <w:t xml:space="preserve">июля </w:t>
      </w:r>
      <w:r>
        <w:rPr>
          <w:rFonts w:ascii="Times New Roman" w:hAnsi="Times New Roman" w:eastAsia="Times New Roman" w:cs="Times New Roman"/>
          <w:iCs/>
          <w:lang w:eastAsia="ru-RU"/>
        </w:rPr>
        <w:t xml:space="preserve">2011 г. №223-ФЗ «О закупках товаров, работ, услуг отдельными видами юридических лиц» регламентирует закупочную деятельность Заказчика.</w:t>
      </w:r>
      <w:r>
        <w:rPr>
          <w:rFonts w:ascii="Times New Roman" w:hAnsi="Times New Roman" w:eastAsia="Calibri" w:cs="Times New Roman"/>
        </w:rPr>
        <w:t xml:space="preserve"> </w:t>
      </w:r>
      <w:r>
        <w:rPr>
          <w:rFonts w:ascii="Times New Roman" w:hAnsi="Times New Roman" w:eastAsia="Calibri" w:cs="Times New Roman"/>
        </w:rPr>
      </w:r>
      <w:r>
        <w:rPr>
          <w:rFonts w:ascii="Times New Roman" w:hAnsi="Times New Roman" w:eastAsia="Calibri" w:cs="Times New Roman"/>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t xml:space="preserve">Все Приложения к извещению являются ее неотъемлемой частью настоящего извещения.</w:t>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СВЕДЕНИЯ ОБ ОРГАНИЗАТОРЕ ЗАКУПКИ (ЗАКАЗЧИКЕ)</w:t>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Style w:val="951"/>
        <w:tblW w:w="0" w:type="auto"/>
        <w:tblLook w:val="04A0" w:firstRow="1" w:lastRow="0" w:firstColumn="1" w:lastColumn="0" w:noHBand="0" w:noVBand="1"/>
      </w:tblPr>
      <w:tblGrid>
        <w:gridCol w:w="4280"/>
        <w:gridCol w:w="5575"/>
      </w:tblGrid>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Наименование Заказчика:</w:t>
            </w:r>
            <w:r>
              <w:rPr>
                <w:rFonts w:ascii="Times New Roman" w:hAnsi="Times New Roman" w:eastAsia="Times New Roman"/>
                <w:b/>
                <w:bCs/>
                <w:iCs/>
              </w:rPr>
            </w:r>
            <w:r>
              <w:rPr>
                <w:rFonts w:ascii="Times New Roman" w:hAnsi="Times New Roman" w:eastAsia="Times New Roman"/>
                <w:b/>
                <w:bCs/>
                <w:iCs/>
              </w:rPr>
            </w:r>
          </w:p>
        </w:tc>
        <w:tc>
          <w:tcPr>
            <w:tcW w:w="5575" w:type="dxa"/>
            <w:vMerge w:val="restart"/>
            <w:textDirection w:val="lrTb"/>
            <w:noWrap w:val="false"/>
          </w:tcPr>
          <w:p>
            <w:pPr>
              <w:contextualSpacing/>
              <w:jc w:val="both"/>
              <w:widowControl w:val="off"/>
              <w:rPr>
                <w:rFonts w:ascii="Times New Roman" w:hAnsi="Times New Roman" w:eastAsia="Times New Roman"/>
                <w:iCs/>
              </w:rPr>
            </w:pPr>
            <w:r>
              <w:rPr>
                <w:rFonts w:ascii="Times New Roman" w:hAnsi="Times New Roman" w:eastAsia="Times New Roman"/>
                <w:iCs/>
              </w:rPr>
              <w:t xml:space="preserve">МУНИЦИПАЛЬНОЕ АВТОНОМНОЕ УЧРЕЖДЕНИЕ КУЛЬТУРЫ "ЦЕНТРАЛИЗОВАННАЯ КЛУБНАЯ СИСТЕМА" </w:t>
            </w:r>
            <w:r>
              <w:rPr>
                <w:rFonts w:ascii="Times New Roman" w:hAnsi="Times New Roman" w:eastAsia="Times New Roman"/>
                <w:iCs/>
              </w:rPr>
            </w:r>
            <w:r>
              <w:rPr>
                <w:rFonts w:ascii="Times New Roman" w:hAnsi="Times New Roman" w:eastAsia="Times New Roman"/>
                <w:iCs/>
              </w:rPr>
            </w:r>
          </w:p>
          <w:p>
            <w:pPr>
              <w:contextualSpacing/>
              <w:jc w:val="both"/>
              <w:widowControl w:val="off"/>
              <w:rPr>
                <w:rFonts w:ascii="Times New Roman" w:hAnsi="Times New Roman" w:eastAsia="Times New Roman"/>
                <w:iCs/>
              </w:rPr>
            </w:pPr>
            <w:r>
              <w:rPr>
                <w:rFonts w:ascii="Times New Roman" w:hAnsi="Times New Roman" w:eastAsia="Times New Roman"/>
                <w:iCs/>
              </w:rPr>
              <w:t xml:space="preserve">629305, Ямало-Ненецкий автономный округ, город Новый Уренгой, Ленинградский </w:t>
            </w:r>
            <w:r>
              <w:rPr>
                <w:rFonts w:ascii="Times New Roman" w:hAnsi="Times New Roman" w:eastAsia="Times New Roman"/>
                <w:iCs/>
              </w:rPr>
              <w:t xml:space="preserve">пр-кт</w:t>
            </w:r>
            <w:r>
              <w:rPr>
                <w:rFonts w:ascii="Times New Roman" w:hAnsi="Times New Roman" w:eastAsia="Times New Roman"/>
                <w:iCs/>
              </w:rPr>
              <w:t xml:space="preserve">, д.9 </w:t>
            </w:r>
            <w:r>
              <w:rPr>
                <w:rFonts w:ascii="Times New Roman" w:hAnsi="Times New Roman" w:eastAsia="Times New Roman"/>
                <w:iCs/>
              </w:rPr>
            </w:r>
            <w:r>
              <w:rPr>
                <w:rFonts w:ascii="Times New Roman" w:hAnsi="Times New Roman" w:eastAsia="Times New Roman"/>
                <w:iCs/>
              </w:rPr>
            </w:r>
          </w:p>
          <w:p>
            <w:pPr>
              <w:contextualSpacing/>
              <w:jc w:val="both"/>
              <w:widowControl w:val="off"/>
              <w:rPr>
                <w:rFonts w:ascii="Times New Roman" w:hAnsi="Times New Roman" w:eastAsia="Times New Roman"/>
                <w:iCs/>
              </w:rPr>
            </w:pPr>
            <w:r>
              <w:rPr>
                <w:rFonts w:ascii="Times New Roman" w:hAnsi="Times New Roman" w:eastAsia="Times New Roman"/>
                <w:iCs/>
              </w:rPr>
              <w:t xml:space="preserve">ФИО: О.Е. Кислова</w:t>
            </w:r>
            <w:r>
              <w:rPr>
                <w:rFonts w:ascii="Times New Roman" w:hAnsi="Times New Roman" w:eastAsia="Times New Roman"/>
                <w:iCs/>
              </w:rPr>
            </w:r>
            <w:r>
              <w:rPr>
                <w:rFonts w:ascii="Times New Roman" w:hAnsi="Times New Roman" w:eastAsia="Times New Roman"/>
                <w:iCs/>
              </w:rPr>
            </w:r>
          </w:p>
          <w:p>
            <w:pPr>
              <w:contextualSpacing/>
              <w:jc w:val="both"/>
              <w:widowControl w:val="off"/>
              <w:rPr>
                <w:rFonts w:ascii="Times New Roman" w:hAnsi="Times New Roman" w:eastAsia="Times New Roman"/>
                <w:iCs/>
              </w:rPr>
            </w:pPr>
            <w:r>
              <w:rPr>
                <w:rFonts w:ascii="Times New Roman" w:hAnsi="Times New Roman" w:eastAsia="Times New Roman"/>
                <w:iCs/>
              </w:rPr>
              <w:t xml:space="preserve">Телефон: (922)285-83-92</w:t>
            </w:r>
            <w:r>
              <w:rPr>
                <w:rFonts w:ascii="Times New Roman" w:hAnsi="Times New Roman" w:eastAsia="Times New Roman"/>
                <w:iCs/>
              </w:rPr>
            </w:r>
            <w:r>
              <w:rPr>
                <w:rFonts w:ascii="Times New Roman" w:hAnsi="Times New Roman" w:eastAsia="Times New Roman"/>
                <w:iCs/>
              </w:rPr>
            </w:r>
          </w:p>
          <w:p>
            <w:pPr>
              <w:contextualSpacing/>
              <w:jc w:val="both"/>
              <w:widowControl w:val="off"/>
              <w:rPr>
                <w:rFonts w:ascii="Times New Roman" w:hAnsi="Times New Roman" w:eastAsia="Times New Roman"/>
                <w:iCs/>
                <w:highlight w:val="yellow"/>
              </w:rPr>
            </w:pPr>
            <w:r>
              <w:rPr>
                <w:rFonts w:ascii="Times New Roman" w:hAnsi="Times New Roman" w:eastAsia="Times New Roman"/>
                <w:iCs/>
              </w:rPr>
              <w:t xml:space="preserve">Почта: nurgdk@mail.ru</w:t>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Сокращенное наименование Заказчика:</w:t>
            </w:r>
            <w:r>
              <w:rPr>
                <w:rFonts w:ascii="Times New Roman" w:hAnsi="Times New Roman" w:eastAsia="Times New Roman"/>
                <w:b/>
                <w:bCs/>
                <w:iCs/>
              </w:rPr>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bCs/>
                <w:highlight w:val="yellow"/>
              </w:rPr>
            </w:pPr>
            <w:r>
              <w:rPr>
                <w:rFonts w:ascii="Times New Roman" w:hAnsi="Times New Roman" w:eastAsia="Times New Roman"/>
                <w:bCs/>
                <w:highlight w:val="yellow"/>
              </w:rPr>
            </w:r>
            <w:r>
              <w:rPr>
                <w:rFonts w:ascii="Times New Roman" w:hAnsi="Times New Roman" w:eastAsia="Times New Roman"/>
                <w:bCs/>
                <w:highlight w:val="yellow"/>
              </w:rPr>
            </w:r>
            <w:r>
              <w:rPr>
                <w:rFonts w:ascii="Times New Roman" w:hAnsi="Times New Roman" w:eastAsia="Times New Roman"/>
                <w:b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Место нахождения Заказчика:</w:t>
            </w:r>
            <w:r>
              <w:rPr>
                <w:rFonts w:ascii="Times New Roman" w:hAnsi="Times New Roman" w:eastAsia="Times New Roman"/>
                <w:b/>
                <w:bCs/>
                <w:iCs/>
              </w:rPr>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Почтовый </w:t>
            </w:r>
            <w:r>
              <w:rPr>
                <w:rFonts w:ascii="Times New Roman" w:hAnsi="Times New Roman" w:eastAsia="Times New Roman"/>
                <w:b/>
                <w:bCs/>
              </w:rPr>
              <w:t xml:space="preserve">адрес</w:t>
            </w:r>
            <w:r>
              <w:rPr>
                <w:rFonts w:ascii="Times New Roman" w:hAnsi="Times New Roman" w:eastAsia="Times New Roman"/>
                <w:b/>
                <w:bCs/>
                <w:iCs/>
              </w:rPr>
              <w:t xml:space="preserve"> Заказчика</w:t>
            </w:r>
            <w:r>
              <w:rPr>
                <w:rFonts w:ascii="Times New Roman" w:hAnsi="Times New Roman" w:eastAsia="Times New Roman"/>
                <w:b/>
                <w:bCs/>
              </w:rPr>
              <w:t xml:space="preserve">:</w:t>
            </w:r>
            <w:r>
              <w:rPr>
                <w:rFonts w:ascii="Times New Roman" w:hAnsi="Times New Roman" w:eastAsia="Times New Roman"/>
                <w:b/>
                <w:bCs/>
                <w:iCs/>
              </w:rPr>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Адрес электронной почты Заказчика:</w:t>
            </w:r>
            <w:r>
              <w:rPr>
                <w:rFonts w:ascii="Times New Roman" w:hAnsi="Times New Roman" w:eastAsia="Times New Roman"/>
                <w:b/>
                <w:bCs/>
                <w:iCs/>
              </w:rPr>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Контактный телефон Заказчика:</w:t>
            </w:r>
            <w:r>
              <w:rPr>
                <w:rFonts w:ascii="Times New Roman" w:hAnsi="Times New Roman" w:eastAsia="Times New Roman"/>
                <w:b/>
                <w:bCs/>
                <w:iCs/>
              </w:rPr>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Контактное лицо Заказчика по процедуре:</w:t>
            </w:r>
            <w:r>
              <w:rPr>
                <w:rFonts w:ascii="Times New Roman" w:hAnsi="Times New Roman" w:eastAsia="Times New Roman"/>
                <w:b/>
                <w:bCs/>
                <w:iCs/>
              </w:rPr>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bl>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rPr>
          <w:rFonts w:ascii="Times New Roman" w:hAnsi="Times New Roman" w:eastAsia="Times New Roman" w:cs="Times New Roman"/>
          <w:iCs/>
          <w:lang w:eastAsia="ru-RU"/>
        </w:rPr>
      </w:pPr>
      <w:r>
        <w:rPr>
          <w:rFonts w:ascii="Times New Roman" w:hAnsi="Times New Roman" w:eastAsia="Times New Roman" w:cs="Times New Roman"/>
          <w:iCs/>
          <w:lang w:eastAsia="ru-RU"/>
        </w:rPr>
        <w:br w:type="page" w:clear="all"/>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jc w:val="center"/>
        <w:spacing w:after="0" w:line="240" w:lineRule="auto"/>
        <w:widowControl w:val="off"/>
        <w:rPr>
          <w:rFonts w:ascii="Times New Roman" w:hAnsi="Times New Roman" w:eastAsia="Times New Roman" w:cs="Times New Roman"/>
          <w:b/>
          <w:bCs/>
          <w:iCs/>
          <w:lang w:eastAsia="ru-RU"/>
        </w:rPr>
      </w:pPr>
      <w:r>
        <w:rPr>
          <w:rFonts w:ascii="Times New Roman" w:hAnsi="Times New Roman" w:eastAsia="Times New Roman" w:cs="Times New Roman"/>
          <w:b/>
          <w:bCs/>
          <w:iCs/>
          <w:lang w:eastAsia="ru-RU"/>
        </w:rPr>
        <w:t xml:space="preserve">УСЛОВИЯ ПРОВЕДЕНИЯ ЗАКУПКИ</w:t>
      </w:r>
      <w:r>
        <w:rPr>
          <w:rFonts w:ascii="Times New Roman" w:hAnsi="Times New Roman" w:eastAsia="Times New Roman" w:cs="Times New Roman"/>
          <w:b/>
          <w:bCs/>
          <w:iCs/>
          <w:lang w:eastAsia="ru-RU"/>
        </w:rPr>
      </w:r>
      <w:r>
        <w:rPr>
          <w:rFonts w:ascii="Times New Roman" w:hAnsi="Times New Roman" w:eastAsia="Times New Roman" w:cs="Times New Roman"/>
          <w:b/>
          <w:bCs/>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Style w:val="951"/>
        <w:tblW w:w="5000" w:type="pct"/>
        <w:tblLook w:val="04A0" w:firstRow="1" w:lastRow="0" w:firstColumn="1" w:lastColumn="0" w:noHBand="0" w:noVBand="1"/>
      </w:tblPr>
      <w:tblGrid>
        <w:gridCol w:w="3985"/>
        <w:gridCol w:w="5870"/>
      </w:tblGrid>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rPr>
              <w:t xml:space="preserve">Способ осуществления закупки</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rPr>
              <w:t xml:space="preserve">Запрос котировок в электронной форме</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Официальный сайт, на котором размещена документация (извещение) о закупке</w:t>
            </w:r>
            <w:r>
              <w:rPr>
                <w:rFonts w:ascii="Times New Roman" w:hAnsi="Times New Roman" w:eastAsia="Times New Roman"/>
                <w:b/>
                <w:bCs/>
                <w:iCs/>
              </w:rPr>
            </w:r>
            <w:r>
              <w:rPr>
                <w:rFonts w:ascii="Times New Roman" w:hAnsi="Times New Roman" w:eastAsia="Times New Roman"/>
                <w:b/>
                <w:bCs/>
                <w:iCs/>
              </w:rPr>
            </w:r>
          </w:p>
          <w:p>
            <w:pPr>
              <w:jc w:val="both"/>
              <w:widowControl w:val="off"/>
              <w:rPr>
                <w:rFonts w:ascii="Times New Roman" w:hAnsi="Times New Roman" w:eastAsia="Times New Roman"/>
                <w:b/>
                <w:bCs/>
                <w:iCs/>
              </w:rPr>
            </w:pPr>
            <w:r>
              <w:rPr>
                <w:rFonts w:ascii="Times New Roman" w:hAnsi="Times New Roman" w:eastAsia="Times New Roman"/>
                <w:b/>
                <w:bCs/>
                <w:iCs/>
              </w:rPr>
              <w:t xml:space="preserve">Срок, место </w:t>
            </w:r>
            <w:r>
              <w:rPr>
                <w:rFonts w:ascii="Times New Roman" w:hAnsi="Times New Roman" w:eastAsia="Times New Roman"/>
                <w:b/>
                <w:bCs/>
                <w:iCs/>
              </w:rPr>
              <w:t xml:space="preserve">и порядок предоставления извещения о закупке, размер, порядок и сроки внесения платы, взимаемой Заказчиком за предоставление извещения, если такая плата установлена Заказчиком, за исключением случаев предоставления извещения в форме электронного документа:</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bookmarkStart w:id="0" w:name="OLE_LINK5"/>
            <w:r/>
            <w:bookmarkStart w:id="1" w:name="OLE_LINK6"/>
            <w:r>
              <w:rPr>
                <w:rFonts w:ascii="Times New Roman" w:hAnsi="Times New Roman" w:eastAsia="Times New Roman"/>
                <w:iCs/>
              </w:rPr>
              <w:t xml:space="preserve">Извещение </w:t>
            </w:r>
            <w:bookmarkEnd w:id="0"/>
            <w:r/>
            <w:bookmarkEnd w:id="1"/>
            <w:r>
              <w:rPr>
                <w:rFonts w:ascii="Times New Roman" w:hAnsi="Times New Roman" w:eastAsia="Times New Roman"/>
                <w:iCs/>
              </w:rPr>
              <w:t xml:space="preserve">доступна для ознакомления со дня размещения извещения о закупке на официальном сайте </w:t>
            </w:r>
            <w:hyperlink r:id="rId11" w:tooltip="http://zakupki.gov.ru" w:history="1">
              <w:r>
                <w:rPr>
                  <w:rStyle w:val="952"/>
                  <w:rFonts w:ascii="Times New Roman" w:hAnsi="Times New Roman" w:eastAsia="Times New Roman"/>
                  <w:iCs/>
                </w:rPr>
                <w:t xml:space="preserve">http://zakupki.gov.ru</w:t>
              </w:r>
            </w:hyperlink>
            <w:r>
              <w:rPr>
                <w:rFonts w:ascii="Times New Roman" w:hAnsi="Times New Roman" w:eastAsia="Times New Roman"/>
                <w:iCs/>
              </w:rPr>
              <w:t xml:space="preserve">  и на электронной торговой площадке </w:t>
            </w:r>
            <w:hyperlink r:id="rId12" w:tooltip="https://etp-region.ru" w:history="1">
              <w:r>
                <w:rPr>
                  <w:rStyle w:val="952"/>
                  <w:rFonts w:ascii="Times New Roman" w:hAnsi="Times New Roman" w:eastAsia="Times New Roman"/>
                  <w:iCs/>
                </w:rPr>
                <w:t xml:space="preserve">https://etp-region.ru</w:t>
              </w:r>
            </w:hyperlink>
            <w:r>
              <w:rPr>
                <w:rFonts w:ascii="Times New Roman" w:hAnsi="Times New Roman" w:eastAsia="Times New Roman"/>
                <w:iCs/>
              </w:rPr>
              <w:t xml:space="preserve"> .</w:t>
            </w:r>
            <w:r>
              <w:rPr>
                <w:rFonts w:ascii="Times New Roman" w:hAnsi="Times New Roman" w:eastAsia="Times New Roman"/>
                <w:iCs/>
              </w:rPr>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Язык документации: русский.</w:t>
            </w:r>
            <w:r>
              <w:rPr>
                <w:rFonts w:ascii="Times New Roman" w:hAnsi="Times New Roman" w:eastAsia="Times New Roman"/>
                <w:iCs/>
              </w:rPr>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Предоставление извещения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3" w:tooltip="http://www.zakupki.gov.ru" w:history="1">
              <w:r>
                <w:rPr>
                  <w:rStyle w:val="952"/>
                  <w:rFonts w:ascii="Times New Roman" w:hAnsi="Times New Roman" w:eastAsia="Times New Roman"/>
                  <w:iCs/>
                </w:rPr>
                <w:t xml:space="preserve">www.zakupki.gov.ru</w:t>
              </w:r>
            </w:hyperlink>
            <w:r>
              <w:rPr>
                <w:rFonts w:ascii="Times New Roman" w:hAnsi="Times New Roman" w:eastAsia="Times New Roman"/>
                <w:iCs/>
              </w:rPr>
              <w:t xml:space="preserve"> ) или с сайта оператора ЭТП (</w:t>
            </w:r>
            <w:hyperlink r:id="rId14" w:tooltip="https://etp-region.ru" w:history="1">
              <w:r>
                <w:rPr>
                  <w:rStyle w:val="952"/>
                  <w:rFonts w:ascii="Times New Roman" w:hAnsi="Times New Roman" w:eastAsia="Times New Roman"/>
                  <w:iCs/>
                </w:rPr>
                <w:t xml:space="preserve">https://etp-region.ru</w:t>
              </w:r>
            </w:hyperlink>
            <w:r>
              <w:rPr>
                <w:rFonts w:ascii="Times New Roman" w:hAnsi="Times New Roman" w:eastAsia="Times New Roman"/>
                <w:iCs/>
              </w:rPr>
              <w:t xml:space="preserve"> ). Плата за предоставление извещения о закупке не установлена. Предоставление извещения на бумажном носителе не предусмотрено.</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Наименование оператора электронной площадки.</w:t>
            </w:r>
            <w:r>
              <w:rPr>
                <w:rFonts w:ascii="Times New Roman" w:hAnsi="Times New Roman" w:eastAsia="Times New Roman"/>
                <w:b/>
                <w:bCs/>
                <w:iCs/>
              </w:rPr>
            </w:r>
            <w:r>
              <w:rPr>
                <w:rFonts w:ascii="Times New Roman" w:hAnsi="Times New Roman" w:eastAsia="Times New Roman"/>
                <w:b/>
                <w:bCs/>
                <w:iCs/>
              </w:rPr>
            </w:r>
          </w:p>
          <w:p>
            <w:pPr>
              <w:jc w:val="both"/>
              <w:widowControl w:val="off"/>
              <w:rPr>
                <w:rFonts w:ascii="Times New Roman" w:hAnsi="Times New Roman" w:eastAsia="Times New Roman"/>
                <w:b/>
                <w:bCs/>
                <w:iCs/>
              </w:rPr>
            </w:pPr>
            <w:r>
              <w:rPr>
                <w:rFonts w:ascii="Times New Roman" w:hAnsi="Times New Roman" w:eastAsia="Times New Roman"/>
                <w:b/>
                <w:bCs/>
                <w:iCs/>
              </w:rPr>
              <w:t xml:space="preserve">Адрес электронной площадки в сети Интернет:</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5" w:tooltip="https://etp-region.ru" w:history="1">
              <w:r>
                <w:rPr>
                  <w:rStyle w:val="952"/>
                  <w:rFonts w:ascii="Times New Roman" w:hAnsi="Times New Roman" w:eastAsia="Times New Roman"/>
                  <w:iCs/>
                </w:rPr>
                <w:t xml:space="preserve">https://etp-region.ru</w:t>
              </w:r>
            </w:hyperlink>
            <w:r>
              <w:rPr>
                <w:rFonts w:ascii="Times New Roman" w:hAnsi="Times New Roman" w:eastAsia="Times New Roman"/>
                <w:iCs/>
              </w:rPr>
              <w:t xml:space="preserve"> .</w:t>
            </w:r>
            <w:r>
              <w:rPr>
                <w:rFonts w:ascii="Times New Roman" w:hAnsi="Times New Roman" w:eastAsia="Times New Roman"/>
                <w:iCs/>
              </w:rPr>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r>
              <w:rPr>
                <w:rFonts w:ascii="Times New Roman" w:hAnsi="Times New Roman" w:eastAsia="Times New Roman"/>
                <w:iCs/>
              </w:rPr>
            </w:r>
            <w:r>
              <w:rPr>
                <w:rFonts w:ascii="Times New Roman" w:hAnsi="Times New Roman" w:eastAsia="Times New Roman"/>
                <w:iCs/>
              </w:rPr>
            </w:r>
          </w:p>
        </w:tc>
      </w:tr>
      <w:tr>
        <w:tblPrEx/>
        <w:trPr>
          <w:trHeight w:val="1012"/>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и время начала приема заявок на участие в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Style w:val="952"/>
                <w:rFonts w:ascii="Times New Roman" w:hAnsi="Times New Roman" w:eastAsia="Times New Roman"/>
                <w:iCs/>
              </w:rPr>
            </w:pPr>
            <w:r>
              <w:rPr>
                <w:rFonts w:ascii="Times New Roman" w:hAnsi="Times New Roman" w:eastAsia="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tooltip="https://zakupki.gov.ru/" w:history="1">
              <w:r>
                <w:rPr>
                  <w:rStyle w:val="952"/>
                  <w:rFonts w:ascii="Times New Roman" w:hAnsi="Times New Roman" w:eastAsia="Times New Roman"/>
                  <w:iCs/>
                </w:rPr>
                <w:t xml:space="preserve">https://zakupki.gov.ru/</w:t>
              </w:r>
            </w:hyperlink>
            <w:r>
              <w:rPr>
                <w:rFonts w:ascii="Times New Roman" w:hAnsi="Times New Roman" w:eastAsia="Times New Roman"/>
                <w:iCs/>
              </w:rPr>
              <w:t xml:space="preserve"> и на сайте электронной торговой площадке Регион </w:t>
            </w:r>
            <w:hyperlink r:id="rId17" w:tooltip="https://torgi.etp-region.ru/" w:history="1">
              <w:r>
                <w:rPr>
                  <w:rStyle w:val="952"/>
                  <w:rFonts w:ascii="Times New Roman" w:hAnsi="Times New Roman" w:eastAsia="Times New Roman"/>
                  <w:iCs/>
                </w:rPr>
                <w:t xml:space="preserve">https://torgi.etp-region.ru/</w:t>
              </w:r>
            </w:hyperlink>
            <w:r>
              <w:rPr>
                <w:rStyle w:val="952"/>
                <w:rFonts w:ascii="Times New Roman" w:hAnsi="Times New Roman" w:eastAsia="Times New Roman"/>
                <w:iCs/>
              </w:rPr>
            </w:r>
            <w:r>
              <w:rPr>
                <w:rStyle w:val="952"/>
                <w:rFonts w:ascii="Times New Roman" w:hAnsi="Times New Roman" w:eastAsia="Times New Roman"/>
                <w:iCs/>
              </w:rPr>
            </w:r>
          </w:p>
          <w:p>
            <w:pPr>
              <w:jc w:val="both"/>
              <w:widowControl w:val="off"/>
              <w:rPr>
                <w:rStyle w:val="952"/>
                <w:rFonts w:ascii="Times New Roman" w:hAnsi="Times New Roman" w:eastAsia="Times New Roman"/>
                <w:iCs/>
              </w:rPr>
            </w:pPr>
            <w:r>
              <w:rPr>
                <w:rStyle w:val="952"/>
                <w:rFonts w:ascii="Times New Roman" w:hAnsi="Times New Roman" w:eastAsia="Times New Roman"/>
                <w:iCs/>
              </w:rPr>
              <w:t xml:space="preserve">17.08.2026г.</w:t>
            </w:r>
            <w:r>
              <w:rPr>
                <w:rStyle w:val="952"/>
                <w:rFonts w:ascii="Times New Roman" w:hAnsi="Times New Roman" w:eastAsia="Times New Roman"/>
                <w:iCs/>
              </w:rPr>
            </w:r>
            <w:r>
              <w:rPr>
                <w:rStyle w:val="952"/>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Место рассмотрения заявок на участие в закупке, подведения итогов:</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Style w:val="1117"/>
              </w:rPr>
              <w:t xml:space="preserve">По месту нахождения Заказчика</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и время окончания срока подачи заявок на участие в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rPr>
                <w:rFonts w:ascii="Times New Roman" w:hAnsi="Times New Roman"/>
                <w:b/>
                <w:bCs/>
                <w:sz w:val="28"/>
                <w:szCs w:val="28"/>
              </w:rPr>
            </w:pPr>
            <w:r>
              <w:rPr>
                <w:rFonts w:ascii="Times New Roman" w:hAnsi="Times New Roman" w:eastAsia="Times New Roman"/>
                <w:b/>
                <w:bCs/>
                <w:color w:val="000000"/>
              </w:rPr>
              <w:t xml:space="preserve">25</w:t>
            </w:r>
            <w:r>
              <w:rPr>
                <w:rFonts w:ascii="Times New Roman" w:hAnsi="Times New Roman" w:eastAsia="Times New Roman"/>
                <w:b/>
                <w:bCs/>
                <w:color w:val="000000"/>
              </w:rPr>
              <w:t xml:space="preserve">.0</w:t>
            </w:r>
            <w:r>
              <w:rPr>
                <w:rFonts w:ascii="Times New Roman" w:hAnsi="Times New Roman" w:eastAsia="Times New Roman"/>
                <w:b/>
                <w:bCs/>
                <w:color w:val="000000"/>
              </w:rPr>
              <w:t xml:space="preserve">8</w:t>
            </w:r>
            <w:r>
              <w:rPr>
                <w:rFonts w:ascii="Times New Roman" w:hAnsi="Times New Roman" w:eastAsia="Times New Roman"/>
                <w:b/>
                <w:bCs/>
                <w:color w:val="000000"/>
              </w:rPr>
              <w:t xml:space="preserve">.2026г</w:t>
            </w:r>
            <w:r>
              <w:rPr>
                <w:rFonts w:ascii="Times New Roman" w:hAnsi="Times New Roman" w:eastAsia="Times New Roman"/>
                <w:b/>
                <w:bCs/>
                <w:color w:val="000000"/>
              </w:rPr>
              <w:t xml:space="preserve">. 10:00 (местное время Заказчика)</w:t>
            </w:r>
            <w:r>
              <w:rPr>
                <w:rFonts w:ascii="Times New Roman" w:hAnsi="Times New Roman"/>
                <w:b/>
                <w:bCs/>
                <w:sz w:val="28"/>
                <w:szCs w:val="28"/>
              </w:rPr>
            </w:r>
            <w:r>
              <w:rPr>
                <w:rFonts w:ascii="Times New Roman" w:hAnsi="Times New Roman"/>
                <w:b/>
                <w:bCs/>
                <w:sz w:val="28"/>
                <w:szCs w:val="28"/>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рассмотрения заявок на участие в закупке и подведения итогов:</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rPr>
                <w:rFonts w:ascii="Times New Roman" w:hAnsi="Times New Roman"/>
                <w:b/>
                <w:bCs/>
                <w:sz w:val="28"/>
                <w:szCs w:val="28"/>
              </w:rPr>
            </w:pPr>
            <w:r>
              <w:rPr>
                <w:rFonts w:ascii="Times New Roman" w:hAnsi="Times New Roman" w:eastAsia="Times New Roman"/>
                <w:b/>
                <w:bCs/>
                <w:color w:val="000000"/>
              </w:rPr>
              <w:t xml:space="preserve">26</w:t>
            </w:r>
            <w:r>
              <w:rPr>
                <w:rFonts w:ascii="Times New Roman" w:hAnsi="Times New Roman" w:eastAsia="Times New Roman"/>
                <w:b/>
                <w:bCs/>
                <w:color w:val="000000"/>
              </w:rPr>
              <w:t xml:space="preserve">.08.2026г</w:t>
            </w:r>
            <w:r>
              <w:rPr>
                <w:rFonts w:ascii="Times New Roman" w:hAnsi="Times New Roman"/>
                <w:b/>
                <w:bCs/>
                <w:sz w:val="28"/>
                <w:szCs w:val="28"/>
              </w:rPr>
            </w:r>
            <w:r>
              <w:rPr>
                <w:rFonts w:ascii="Times New Roman" w:hAnsi="Times New Roman"/>
                <w:b/>
                <w:bCs/>
                <w:sz w:val="28"/>
                <w:szCs w:val="28"/>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Начало срока предоставления участникам закупки разъяснений положений извещения о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8" w:tooltip="https://zakupki.gov.ru/" w:history="1">
              <w:r>
                <w:rPr>
                  <w:rStyle w:val="952"/>
                  <w:rFonts w:ascii="Times New Roman" w:hAnsi="Times New Roman" w:eastAsia="Times New Roman"/>
                  <w:iCs/>
                </w:rPr>
                <w:t xml:space="preserve">https://zakupki.gov.ru/</w:t>
              </w:r>
            </w:hyperlink>
            <w:r>
              <w:rPr>
                <w:rFonts w:ascii="Times New Roman" w:hAnsi="Times New Roman" w:eastAsia="Times New Roman"/>
                <w:iCs/>
              </w:rPr>
              <w:t xml:space="preserve"> и на сайте электронной торговой площадке Регион </w:t>
            </w:r>
            <w:hyperlink r:id="rId19" w:tooltip="https://torgi.etp-region.ru/" w:history="1">
              <w:r>
                <w:rPr>
                  <w:rStyle w:val="952"/>
                  <w:rFonts w:ascii="Times New Roman" w:hAnsi="Times New Roman" w:eastAsia="Times New Roman"/>
                  <w:iCs/>
                </w:rPr>
                <w:t xml:space="preserve">https://torgi.etp-region.ru/</w:t>
              </w:r>
            </w:hyperlink>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Окончание срока предоставления участникам закупки разъяснений положений извещения о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rPr>
                <w:rFonts w:ascii="Times New Roman" w:hAnsi="Times New Roman"/>
                <w:b/>
                <w:bCs/>
                <w:sz w:val="28"/>
                <w:szCs w:val="28"/>
              </w:rPr>
            </w:pPr>
            <w:r>
              <w:rPr>
                <w:rFonts w:ascii="Times New Roman" w:hAnsi="Times New Roman" w:eastAsia="Times New Roman"/>
                <w:b/>
                <w:bCs/>
                <w:color w:val="000000"/>
              </w:rPr>
              <w:t xml:space="preserve">20</w:t>
            </w:r>
            <w:r>
              <w:rPr>
                <w:rFonts w:ascii="Times New Roman" w:hAnsi="Times New Roman" w:eastAsia="Times New Roman"/>
                <w:b/>
                <w:bCs/>
                <w:color w:val="000000"/>
              </w:rPr>
              <w:t xml:space="preserve">.08.2026г</w:t>
            </w:r>
            <w:r>
              <w:rPr>
                <w:rFonts w:ascii="Times New Roman" w:hAnsi="Times New Roman" w:eastAsia="Times New Roman"/>
                <w:b/>
                <w:bCs/>
                <w:color w:val="000000"/>
              </w:rPr>
              <w:t xml:space="preserve">. 10:00 (местное время Заказчика)</w:t>
            </w:r>
            <w:r>
              <w:rPr>
                <w:rFonts w:ascii="Times New Roman" w:hAnsi="Times New Roman"/>
                <w:b/>
                <w:bCs/>
                <w:sz w:val="28"/>
                <w:szCs w:val="28"/>
              </w:rPr>
            </w:r>
            <w:r>
              <w:rPr>
                <w:rFonts w:ascii="Times New Roman" w:hAnsi="Times New Roman"/>
                <w:b/>
                <w:bCs/>
                <w:sz w:val="28"/>
                <w:szCs w:val="28"/>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заявки на участие в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bCs/>
                <w:iCs/>
                <w:highlight w:val="yellow"/>
              </w:rPr>
            </w:pPr>
            <w:r>
              <w:rPr>
                <w:rFonts w:ascii="Times New Roman" w:hAnsi="Times New Roman" w:eastAsia="Times New Roman"/>
                <w:b/>
              </w:rPr>
              <w:t xml:space="preserve">Не установлено</w:t>
            </w:r>
            <w:r>
              <w:rPr>
                <w:rFonts w:ascii="Times New Roman" w:hAnsi="Times New Roman" w:eastAsia="Times New Roman"/>
                <w:bCs/>
                <w:iCs/>
                <w:highlight w:val="yellow"/>
              </w:rPr>
            </w:r>
            <w:r>
              <w:rPr>
                <w:rFonts w:ascii="Times New Roman" w:hAnsi="Times New Roman" w:eastAsia="Times New Roman"/>
                <w:bCs/>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заявки на участие в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b/>
                <w:bCs/>
                <w:iCs/>
                <w:highlight w:val="yellow"/>
              </w:rPr>
            </w:pPr>
            <w:r>
              <w:rPr>
                <w:rFonts w:ascii="Times New Roman" w:hAnsi="Times New Roman" w:eastAsia="Times New Roman"/>
                <w:iCs/>
              </w:rPr>
              <w:t xml:space="preserve">В соответствии с пунктом 15 извещения о закупке</w:t>
            </w:r>
            <w:r>
              <w:rPr>
                <w:rFonts w:ascii="Times New Roman" w:hAnsi="Times New Roman" w:eastAsia="Times New Roman"/>
                <w:b/>
                <w:bCs/>
                <w:iCs/>
                <w:highlight w:val="yellow"/>
              </w:rPr>
            </w:r>
            <w:r>
              <w:rPr>
                <w:rFonts w:ascii="Times New Roman" w:hAnsi="Times New Roman" w:eastAsia="Times New Roman"/>
                <w:b/>
                <w:bCs/>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исполнения договора:</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bCs/>
                <w:iCs/>
                <w:highlight w:val="yellow"/>
              </w:rPr>
            </w:pPr>
            <w:r>
              <w:rPr>
                <w:rFonts w:ascii="Times New Roman" w:hAnsi="Times New Roman" w:eastAsia="Times New Roman"/>
                <w:b/>
              </w:rPr>
              <w:t xml:space="preserve">Не установлено</w:t>
            </w:r>
            <w:r>
              <w:rPr>
                <w:rFonts w:ascii="Times New Roman" w:hAnsi="Times New Roman" w:eastAsia="Times New Roman"/>
                <w:bCs/>
                <w:iCs/>
                <w:highlight w:val="yellow"/>
              </w:rPr>
            </w:r>
            <w:r>
              <w:rPr>
                <w:rFonts w:ascii="Times New Roman" w:hAnsi="Times New Roman" w:eastAsia="Times New Roman"/>
                <w:bCs/>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исполнения договора:</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b/>
                <w:bCs/>
                <w:iCs/>
                <w:highlight w:val="yellow"/>
              </w:rPr>
            </w:pPr>
            <w:r>
              <w:rPr>
                <w:rFonts w:ascii="Times New Roman" w:hAnsi="Times New Roman" w:eastAsia="Times New Roman"/>
                <w:iCs/>
              </w:rPr>
              <w:t xml:space="preserve">В соответствии с пунктом 16 извещения о закупке</w:t>
            </w:r>
            <w:r>
              <w:rPr>
                <w:rFonts w:ascii="Times New Roman" w:hAnsi="Times New Roman" w:eastAsia="Times New Roman"/>
                <w:b/>
                <w:bCs/>
                <w:iCs/>
                <w:highlight w:val="yellow"/>
              </w:rPr>
            </w:r>
            <w:r>
              <w:rPr>
                <w:rFonts w:ascii="Times New Roman" w:hAnsi="Times New Roman" w:eastAsia="Times New Roman"/>
                <w:b/>
                <w:bCs/>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гарантийных обязательств:</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bCs/>
                <w:iCs/>
                <w:highlight w:val="yellow"/>
              </w:rPr>
            </w:pPr>
            <w:r>
              <w:rPr>
                <w:rFonts w:ascii="Times New Roman" w:hAnsi="Times New Roman" w:eastAsia="Times New Roman"/>
                <w:b/>
              </w:rPr>
              <w:t xml:space="preserve">Не установлено</w:t>
            </w:r>
            <w:r>
              <w:rPr>
                <w:rFonts w:ascii="Times New Roman" w:hAnsi="Times New Roman" w:eastAsia="Times New Roman"/>
                <w:bCs/>
                <w:iCs/>
                <w:highlight w:val="yellow"/>
              </w:rPr>
            </w:r>
            <w:r>
              <w:rPr>
                <w:rFonts w:ascii="Times New Roman" w:hAnsi="Times New Roman" w:eastAsia="Times New Roman"/>
                <w:bCs/>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гарантийных обязательств:</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В соответствии с пунктом 17 извещения о закупке</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Инструкция по заполнению заявки Участником закупки:</w:t>
            </w:r>
            <w:r>
              <w:rPr>
                <w:rFonts w:ascii="Times New Roman" w:hAnsi="Times New Roman" w:eastAsia="Times New Roman"/>
                <w:b/>
                <w:bCs/>
                <w:iCs/>
              </w:rPr>
            </w:r>
            <w:r>
              <w:rPr>
                <w:rFonts w:ascii="Times New Roman" w:hAnsi="Times New Roman" w:eastAsia="Times New Roman"/>
                <w:b/>
                <w:bCs/>
                <w:iCs/>
              </w:rPr>
            </w:r>
          </w:p>
        </w:tc>
        <w:tc>
          <w:tcPr>
            <w:tcW w:w="2978" w:type="pct"/>
            <w:textDirection w:val="lrTb"/>
            <w:noWrap w:val="false"/>
          </w:tcPr>
          <w:p>
            <w:pPr>
              <w:ind w:firstLine="436"/>
              <w:jc w:val="both"/>
              <w:widowControl w:val="off"/>
              <w:rPr>
                <w:rFonts w:ascii="Times New Roman" w:hAnsi="Times New Roman" w:eastAsia="Times New Roman"/>
                <w:iCs/>
              </w:rPr>
            </w:pPr>
            <w:r>
              <w:rPr>
                <w:rFonts w:ascii="Times New Roman" w:hAnsi="Times New Roman" w:eastAsia="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w:t>
            </w:r>
            <w:r>
              <w:rPr>
                <w:rFonts w:ascii="Times New Roman" w:hAnsi="Times New Roman" w:eastAsia="Times New Roman"/>
                <w:iCs/>
              </w:rPr>
              <w:t xml:space="preserve">(при наличии), фирменное наименование (при наличии), патенты (при наличии), полезные модели (при наличии), промышленные образцы (при наличии), наименование страны</w:t>
            </w:r>
            <w:r>
              <w:rPr>
                <w:rFonts w:ascii="Times New Roman" w:hAnsi="Times New Roman" w:eastAsia="Times New Roman"/>
                <w:iCs/>
              </w:rPr>
              <w:t xml:space="preserve">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Предоставляемые участником закупки в электронной форме сведения не должны сопров</w:t>
            </w:r>
            <w:r>
              <w:rPr>
                <w:rFonts w:ascii="Times New Roman" w:hAnsi="Times New Roman" w:eastAsia="Times New Roman"/>
                <w:iCs/>
              </w:rPr>
              <w:t xml:space="preserve">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w:t>
            </w:r>
            <w:r>
              <w:rPr>
                <w:rFonts w:ascii="Times New Roman" w:hAnsi="Times New Roman" w:eastAsia="Times New Roman"/>
                <w:iCs/>
              </w:rPr>
              <w:t xml:space="preserve">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При подаче сведений</w:t>
            </w:r>
            <w:r>
              <w:rPr>
                <w:rFonts w:ascii="Times New Roman" w:hAnsi="Times New Roman" w:eastAsia="Times New Roman"/>
                <w:iCs/>
              </w:rPr>
              <w:t xml:space="preserve">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В описании условий и предложений Участник закупки не должен допускать двусмысленных толкований, разночтений.</w:t>
            </w:r>
            <w:r>
              <w:rPr>
                <w:rFonts w:ascii="Times New Roman" w:hAnsi="Times New Roman" w:eastAsia="Times New Roman"/>
                <w:iCs/>
              </w:rPr>
            </w:r>
            <w:r>
              <w:rPr>
                <w:rFonts w:ascii="Times New Roman" w:hAnsi="Times New Roman" w:eastAsia="Times New Roman"/>
                <w:iCs/>
              </w:rPr>
            </w:r>
          </w:p>
        </w:tc>
      </w:tr>
    </w:tbl>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jc w:val="center"/>
        <w:rPr>
          <w:rFonts w:ascii="Times New Roman" w:hAnsi="Times New Roman" w:eastAsia="Times New Roman" w:cs="Times New Roman"/>
          <w:b/>
          <w:bCs/>
          <w:iCs/>
          <w:lang w:eastAsia="ru-RU"/>
        </w:rPr>
      </w:pPr>
      <w:r>
        <w:rPr>
          <w:rFonts w:ascii="Times New Roman" w:hAnsi="Times New Roman" w:eastAsia="Times New Roman" w:cs="Times New Roman"/>
          <w:b/>
          <w:bCs/>
          <w:iCs/>
          <w:lang w:eastAsia="ru-RU"/>
        </w:rPr>
        <w:br w:type="page" w:clear="all"/>
      </w:r>
      <w:r>
        <w:rPr>
          <w:rFonts w:ascii="Times New Roman" w:hAnsi="Times New Roman" w:eastAsia="Times New Roman" w:cs="Times New Roman"/>
          <w:b/>
          <w:bCs/>
          <w:iCs/>
          <w:lang w:eastAsia="ru-RU"/>
        </w:rPr>
        <w:t xml:space="preserve">ПРЕДОСТАВЛЕНИЕ НАЦИОНАЛЬНОГО РЕЖИМА ПРИ ОСУЩЕСТВЛЕНИИ ЗАКУПОК</w:t>
      </w:r>
      <w:r>
        <w:rPr>
          <w:rFonts w:ascii="Times New Roman" w:hAnsi="Times New Roman" w:eastAsia="Times New Roman" w:cs="Times New Roman"/>
          <w:b/>
          <w:bCs/>
          <w:iCs/>
          <w:lang w:eastAsia="ru-RU"/>
        </w:rPr>
      </w:r>
      <w:r>
        <w:rPr>
          <w:rFonts w:ascii="Times New Roman" w:hAnsi="Times New Roman" w:eastAsia="Times New Roman" w:cs="Times New Roman"/>
          <w:b/>
          <w:bCs/>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96"/>
        <w:gridCol w:w="6459"/>
      </w:tblGrid>
      <w:tr>
        <w:tblPrEx/>
        <w:trPr/>
        <w:tc>
          <w:tcPr>
            <w:gridSpan w:val="2"/>
            <w:shd w:val="clear" w:color="auto" w:fill="d9e2f3" w:themeFill="accent1" w:themeFillTint="33"/>
            <w:tcW w:w="5000"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При осуществл</w:t>
            </w:r>
            <w:r>
              <w:rPr>
                <w:rFonts w:ascii="Times New Roman" w:hAnsi="Times New Roman" w:cs="Times New Roman"/>
                <w:b/>
                <w:bCs/>
                <w:sz w:val="20"/>
                <w:szCs w:val="20"/>
              </w:rPr>
              <w:t xml:space="preserve">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w:t>
            </w:r>
            <w:r>
              <w:rPr>
                <w:rFonts w:ascii="Times New Roman" w:hAnsi="Times New Roman" w:cs="Times New Roman"/>
                <w:b/>
                <w:bCs/>
                <w:sz w:val="20"/>
                <w:szCs w:val="20"/>
              </w:rPr>
              <w:t xml:space="preserve">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w:t>
            </w:r>
            <w:r>
              <w:rPr>
                <w:rFonts w:ascii="Times New Roman" w:hAnsi="Times New Roman" w:cs="Times New Roman"/>
                <w:b/>
                <w:bCs/>
                <w:sz w:val="20"/>
                <w:szCs w:val="20"/>
              </w:rPr>
              <w:t xml:space="preserve">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w:t>
            </w:r>
            <w:r>
              <w:rPr>
                <w:rFonts w:ascii="Times New Roman" w:hAnsi="Times New Roman" w:cs="Times New Roman"/>
                <w:b/>
                <w:bCs/>
                <w:sz w:val="20"/>
                <w:szCs w:val="20"/>
              </w:rPr>
              <w:t xml:space="preserve">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w:t>
            </w:r>
            <w:r>
              <w:rPr>
                <w:rFonts w:ascii="Times New Roman" w:hAnsi="Times New Roman" w:cs="Times New Roman"/>
                <w:b/>
                <w:bCs/>
                <w:sz w:val="20"/>
                <w:szCs w:val="20"/>
              </w:rPr>
              <w:t xml:space="preserve">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Times New Roman" w:hAnsi="Times New Roman" w:cs="Times New Roman"/>
                <w:sz w:val="20"/>
                <w:szCs w:val="20"/>
              </w:rPr>
            </w:r>
            <w:r>
              <w:rPr>
                <w:rFonts w:ascii="Times New Roman" w:hAnsi="Times New Roman" w:cs="Times New Roman"/>
                <w:sz w:val="20"/>
                <w:szCs w:val="20"/>
              </w:rPr>
            </w:r>
          </w:p>
        </w:tc>
      </w:tr>
      <w:tr>
        <w:tblPrEx/>
        <w:trPr/>
        <w:tc>
          <w:tcPr>
            <w:tcW w:w="1723"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ЗАПРЕТ</w:t>
            </w:r>
            <w:r>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ascii="Times New Roman" w:hAnsi="Times New Roman" w:cs="Times New Roman"/>
                <w:sz w:val="20"/>
                <w:szCs w:val="20"/>
              </w:rPr>
            </w:r>
            <w:r>
              <w:rPr>
                <w:rFonts w:ascii="Times New Roman" w:hAnsi="Times New Roman" w:cs="Times New Roman"/>
                <w:sz w:val="20"/>
                <w:szCs w:val="20"/>
              </w:rPr>
            </w:r>
          </w:p>
        </w:tc>
        <w:tc>
          <w:tcPr>
            <w:tcW w:w="3277" w:type="pct"/>
            <w:vAlign w:val="center"/>
            <w:textDirection w:val="lrTb"/>
            <w:noWrap w:val="false"/>
          </w:tcPr>
          <w:p>
            <w:pPr>
              <w:pStyle w:val="1115"/>
              <w:spacing w:after="0"/>
              <w:widowControl w:val="off"/>
              <w:rPr>
                <w:sz w:val="18"/>
                <w:szCs w:val="18"/>
              </w:rPr>
            </w:pPr>
            <w:r>
              <w:rPr>
                <w:color w:val="000000"/>
                <w:sz w:val="18"/>
                <w:szCs w:val="18"/>
              </w:rPr>
              <w:t xml:space="preserve">НЕ УСТАНОВЛЕНО </w:t>
            </w:r>
            <w:r>
              <w:rPr>
                <w:sz w:val="18"/>
                <w:szCs w:val="18"/>
              </w:rPr>
            </w:r>
            <w:r>
              <w:rPr>
                <w:sz w:val="18"/>
                <w:szCs w:val="18"/>
              </w:rPr>
            </w:r>
          </w:p>
        </w:tc>
      </w:tr>
      <w:tr>
        <w:tblPrEx/>
        <w:trPr/>
        <w:tc>
          <w:tcPr>
            <w:tcW w:w="1723"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ОГРАНИЧЕНИЕ</w:t>
            </w:r>
            <w:r>
              <w:rPr>
                <w:rFonts w:ascii="Times New Roman" w:hAnsi="Times New Roman" w:cs="Times New Roman"/>
                <w:sz w:val="20"/>
                <w:szCs w:val="20"/>
              </w:rPr>
              <w:t xml:space="preserve"> закупок товаров (в том числе поставляемых при </w:t>
            </w:r>
            <w:r>
              <w:rPr>
                <w:rFonts w:ascii="Times New Roman" w:hAnsi="Times New Roman" w:cs="Times New Roman"/>
                <w:sz w:val="20"/>
                <w:szCs w:val="20"/>
              </w:rPr>
              <w:t xml:space="preserve">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r>
              <w:rPr>
                <w:rFonts w:ascii="Times New Roman" w:hAnsi="Times New Roman" w:cs="Times New Roman"/>
                <w:sz w:val="20"/>
                <w:szCs w:val="20"/>
              </w:rPr>
            </w:r>
            <w:r>
              <w:rPr>
                <w:rFonts w:ascii="Times New Roman" w:hAnsi="Times New Roman" w:cs="Times New Roman"/>
                <w:sz w:val="20"/>
                <w:szCs w:val="20"/>
              </w:rPr>
            </w:r>
          </w:p>
        </w:tc>
        <w:tc>
          <w:tcPr>
            <w:tcW w:w="3277" w:type="pct"/>
            <w:textDirection w:val="lrTb"/>
            <w:noWrap w:val="false"/>
          </w:tcPr>
          <w:p>
            <w:pPr>
              <w:ind w:left="112"/>
              <w:jc w:val="both"/>
              <w:spacing w:after="0" w:line="240" w:lineRule="auto"/>
              <w:widowControl w:val="off"/>
              <w:rPr>
                <w:rFonts w:ascii="Times New Roman" w:hAnsi="Times New Roman" w:cs="Times New Roman"/>
                <w:b/>
                <w:bCs/>
                <w:sz w:val="20"/>
                <w:szCs w:val="20"/>
              </w:rPr>
            </w:pPr>
            <w:r>
              <w:rPr>
                <w:rFonts w:ascii="Times New Roman" w:hAnsi="Times New Roman" w:cs="Times New Roman"/>
                <w:sz w:val="20"/>
                <w:szCs w:val="20"/>
              </w:rPr>
              <w:t xml:space="preserve">Не установлено</w:t>
            </w:r>
            <w:r>
              <w:rPr>
                <w:rFonts w:ascii="Times New Roman" w:hAnsi="Times New Roman" w:cs="Times New Roman"/>
                <w:b/>
                <w:bCs/>
                <w:sz w:val="20"/>
                <w:szCs w:val="20"/>
              </w:rPr>
            </w:r>
            <w:r>
              <w:rPr>
                <w:rFonts w:ascii="Times New Roman" w:hAnsi="Times New Roman" w:cs="Times New Roman"/>
                <w:b/>
                <w:bCs/>
                <w:sz w:val="20"/>
                <w:szCs w:val="20"/>
              </w:rPr>
            </w:r>
          </w:p>
        </w:tc>
      </w:tr>
      <w:tr>
        <w:tblPrEx/>
        <w:trPr/>
        <w:tc>
          <w:tcPr>
            <w:tcW w:w="1723"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ПРЕИМУЩЕСТВО</w:t>
            </w:r>
            <w:r>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Times New Roman" w:hAnsi="Times New Roman" w:cs="Times New Roman"/>
                <w:sz w:val="20"/>
                <w:szCs w:val="20"/>
              </w:rPr>
            </w:r>
            <w:r>
              <w:rPr>
                <w:rFonts w:ascii="Times New Roman" w:hAnsi="Times New Roman" w:cs="Times New Roman"/>
                <w:sz w:val="20"/>
                <w:szCs w:val="20"/>
              </w:rPr>
            </w:r>
          </w:p>
        </w:tc>
        <w:tc>
          <w:tcPr>
            <w:tcW w:w="3277" w:type="pct"/>
            <w:textDirection w:val="lrTb"/>
            <w:noWrap w:val="false"/>
          </w:tcPr>
          <w:p>
            <w:pPr>
              <w:ind w:left="112"/>
              <w:jc w:val="both"/>
              <w:spacing w:after="0" w:line="240" w:lineRule="auto"/>
              <w:widowControl w:val="off"/>
              <w:rPr>
                <w:rFonts w:ascii="Times New Roman" w:hAnsi="Times New Roman" w:cs="Times New Roman"/>
                <w:b/>
                <w:bCs/>
                <w:sz w:val="20"/>
                <w:szCs w:val="20"/>
              </w:rPr>
            </w:pPr>
            <w:r>
              <w:rPr>
                <w:rFonts w:ascii="Times New Roman" w:hAnsi="Times New Roman" w:cs="Times New Roman"/>
                <w:sz w:val="20"/>
                <w:szCs w:val="20"/>
              </w:rPr>
              <w:t xml:space="preserve">Не установлено</w:t>
            </w:r>
            <w:r>
              <w:rPr>
                <w:rFonts w:ascii="Times New Roman" w:hAnsi="Times New Roman" w:cs="Times New Roman"/>
                <w:b/>
                <w:bCs/>
                <w:sz w:val="20"/>
                <w:szCs w:val="20"/>
              </w:rPr>
            </w:r>
            <w:r>
              <w:rPr>
                <w:rFonts w:ascii="Times New Roman" w:hAnsi="Times New Roman" w:cs="Times New Roman"/>
                <w:b/>
                <w:bCs/>
                <w:sz w:val="20"/>
                <w:szCs w:val="20"/>
              </w:rPr>
            </w:r>
          </w:p>
        </w:tc>
      </w:tr>
      <w:tr>
        <w:tblPrEx/>
        <w:trPr/>
        <w:tc>
          <w:tcPr>
            <w:tcW w:w="1723" w:type="pct"/>
            <w:vAlign w:val="center"/>
            <w:textDirection w:val="lrTb"/>
            <w:noWrap w:val="false"/>
          </w:tcPr>
          <w:p>
            <w:pPr>
              <w:ind w:firstLine="396"/>
              <w:jc w:val="both"/>
              <w:spacing w:after="0" w:line="240" w:lineRule="auto"/>
              <w:widowControl w:val="off"/>
              <w:rPr>
                <w:rFonts w:ascii="Times New Roman" w:hAnsi="Times New Roman" w:cs="Times New Roman"/>
                <w:b/>
                <w:bCs/>
                <w:sz w:val="20"/>
                <w:szCs w:val="20"/>
              </w:rPr>
            </w:pPr>
            <w:r>
              <w:rPr>
                <w:rFonts w:ascii="Times New Roman" w:hAnsi="Times New Roman" w:cs="Times New Roman"/>
                <w:b/>
                <w:bCs/>
                <w:sz w:val="20"/>
                <w:szCs w:val="20"/>
              </w:rPr>
              <w:t xml:space="preserve">УСЛОВИЯ </w:t>
            </w:r>
            <w:r>
              <w:rPr>
                <w:rFonts w:ascii="Times New Roman" w:hAnsi="Times New Roman" w:cs="Times New Roman"/>
                <w:sz w:val="20"/>
                <w:szCs w:val="20"/>
              </w:rPr>
              <w:t xml:space="preserve">неприменения (невозможности применения) вышеуказанных мер национального режима:</w:t>
            </w:r>
            <w:r>
              <w:rPr>
                <w:rFonts w:ascii="Times New Roman" w:hAnsi="Times New Roman" w:cs="Times New Roman"/>
                <w:b/>
                <w:bCs/>
                <w:sz w:val="20"/>
                <w:szCs w:val="20"/>
              </w:rPr>
            </w:r>
            <w:r>
              <w:rPr>
                <w:rFonts w:ascii="Times New Roman" w:hAnsi="Times New Roman" w:cs="Times New Roman"/>
                <w:b/>
                <w:bCs/>
                <w:sz w:val="20"/>
                <w:szCs w:val="20"/>
              </w:rPr>
            </w:r>
          </w:p>
        </w:tc>
        <w:tc>
          <w:tcPr>
            <w:tcW w:w="3277" w:type="pct"/>
            <w:vAlign w:val="center"/>
            <w:textDirection w:val="lrTb"/>
            <w:noWrap w:val="false"/>
          </w:tcPr>
          <w:p>
            <w:pPr>
              <w:ind w:left="112"/>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Не установлено</w:t>
            </w:r>
            <w:r>
              <w:rPr>
                <w:rFonts w:ascii="Times New Roman" w:hAnsi="Times New Roman" w:cs="Times New Roman"/>
                <w:sz w:val="20"/>
                <w:szCs w:val="20"/>
              </w:rPr>
            </w:r>
            <w:r>
              <w:rPr>
                <w:rFonts w:ascii="Times New Roman" w:hAnsi="Times New Roman" w:cs="Times New Roman"/>
                <w:sz w:val="20"/>
                <w:szCs w:val="20"/>
              </w:rPr>
            </w:r>
          </w:p>
        </w:tc>
      </w:tr>
    </w:tbl>
    <w:p>
      <w:pPr>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b/>
          <w:lang w:eastAsia="ru-RU"/>
        </w:rPr>
        <w:t xml:space="preserve">НАИМЕНОВАНИЕ И СОДЕРЖАНИЕ РАЗДЕЛОВ ИЗВЕЩЕНИЯ</w:t>
      </w:r>
      <w:r>
        <w:t xml:space="preserve"> </w:t>
      </w:r>
      <w:r>
        <w:rPr>
          <w:rFonts w:ascii="Times New Roman" w:hAnsi="Times New Roman" w:eastAsia="Times New Roman" w:cs="Times New Roman"/>
          <w:b/>
          <w:lang w:eastAsia="ru-RU"/>
        </w:rPr>
        <w:t xml:space="preserve">О ЗАКУПКЕ В ЭЛЕКТРОННОЙ ФОРМЕ</w:t>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64"/>
        <w:gridCol w:w="8791"/>
      </w:tblGrid>
      <w:tr>
        <w:tblPrEx/>
        <w:trPr>
          <w:trHeight w:val="9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
                <w:sz w:val="20"/>
                <w:szCs w:val="20"/>
                <w:lang w:eastAsia="ru-RU"/>
              </w:rPr>
              <w:t xml:space="preserve">Предмет договора</w:t>
            </w:r>
            <w:r>
              <w:rPr>
                <w:rFonts w:ascii="Times New Roman" w:hAnsi="Times New Roman" w:eastAsia="Times New Roman" w:cs="Times New Roman"/>
                <w:bCs/>
                <w:sz w:val="20"/>
                <w:szCs w:val="20"/>
                <w:highlight w:val="green"/>
                <w:lang w:eastAsia="ru-RU"/>
              </w:rPr>
            </w:r>
            <w:r>
              <w:rPr>
                <w:rFonts w:ascii="Times New Roman" w:hAnsi="Times New Roman" w:eastAsia="Times New Roman" w:cs="Times New Roman"/>
                <w:bCs/>
                <w:sz w:val="20"/>
                <w:szCs w:val="20"/>
                <w:highlight w:val="green"/>
                <w:lang w:eastAsia="ru-RU"/>
              </w:rPr>
            </w:r>
          </w:p>
        </w:tc>
      </w:tr>
      <w:tr>
        <w:tblPrEx/>
        <w:trPr>
          <w:trHeight w:val="91"/>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Оказание услуг </w:t>
            </w:r>
            <w:r>
              <w:rPr>
                <w:rFonts w:ascii="Times New Roman" w:hAnsi="Times New Roman" w:eastAsia="Times New Roman" w:cs="Times New Roman"/>
                <w:b/>
                <w:sz w:val="20"/>
                <w:szCs w:val="20"/>
                <w:lang w:eastAsia="ru-RU"/>
              </w:rPr>
              <w:t xml:space="preserve">гардеробщиков</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Описание предмета договора</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Сведения об объекте закупки, функциональные, технические и качественные характеристикам объекта закупки, эксплуатационные хара</w:t>
            </w:r>
            <w:r>
              <w:rPr>
                <w:rFonts w:ascii="Times New Roman" w:hAnsi="Times New Roman" w:eastAsia="Times New Roman" w:cs="Times New Roman"/>
                <w:bCs/>
                <w:sz w:val="20"/>
                <w:szCs w:val="20"/>
                <w:lang w:eastAsia="ru-RU"/>
              </w:rPr>
              <w:t xml:space="preserve">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Требования стандартов, технических регламентов или иных нормативных документов, которым долж</w:t>
            </w:r>
            <w:r>
              <w:rPr>
                <w:rFonts w:ascii="Times New Roman" w:hAnsi="Times New Roman" w:eastAsia="Times New Roman" w:cs="Times New Roman"/>
                <w:bCs/>
                <w:sz w:val="20"/>
                <w:szCs w:val="20"/>
                <w:lang w:eastAsia="ru-RU"/>
              </w:rPr>
              <w:t xml:space="preserve">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w:t>
            </w:r>
            <w:r>
              <w:rPr>
                <w:rFonts w:ascii="Times New Roman" w:hAnsi="Times New Roman" w:eastAsia="Times New Roman" w:cs="Times New Roman"/>
                <w:bCs/>
                <w:sz w:val="20"/>
                <w:szCs w:val="20"/>
                <w:lang w:eastAsia="ru-RU"/>
              </w:rPr>
              <w:t xml:space="preserve">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w:t>
            </w:r>
            <w:r>
              <w:rPr>
                <w:rFonts w:ascii="Times New Roman" w:hAnsi="Times New Roman" w:eastAsia="Times New Roman" w:cs="Times New Roman"/>
                <w:bCs/>
                <w:sz w:val="20"/>
                <w:szCs w:val="20"/>
                <w:lang w:eastAsia="ru-RU"/>
              </w:rPr>
              <w:t xml:space="preserve">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3</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Количество (объем) поставки товара, оказания услуг, выполнения работ</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В соответствии с описанием предмета договора (техническое задание – прилагается отдельным файлом)</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3"/>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4</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Место, условия и сроки (периоды) поставки, оказания услуг, выполнения работ</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В соответствии с описанием предмета договора (техническое задание – прилагается отдельным файлом), проектом договора (прилагается отдельным файлом)</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5</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pStyle w:val="1083"/>
              <w:ind w:firstLine="521"/>
              <w:jc w:val="both"/>
              <w:rPr>
                <w:rStyle w:val="1086"/>
                <w:rFonts w:eastAsia="Calibri"/>
                <w:b/>
                <w:bCs/>
                <w:sz w:val="20"/>
              </w:rPr>
            </w:pPr>
            <w:r>
              <w:rPr>
                <w:rStyle w:val="1086"/>
                <w:rFonts w:eastAsia="Calibri"/>
                <w:b/>
                <w:bCs/>
                <w:sz w:val="20"/>
              </w:rPr>
            </w:r>
            <w:r>
              <w:rPr>
                <w:rFonts w:ascii="Liberation Serif" w:hAnsi="Liberation Serif" w:eastAsia="Liberation Serif" w:cs="Liberation Serif"/>
                <w:b/>
                <w:bCs/>
                <w:color w:val="000000"/>
                <w:sz w:val="20"/>
                <w:szCs w:val="20"/>
                <w:highlight w:val="none"/>
              </w:rPr>
              <w:t xml:space="preserve">163 350,00</w:t>
            </w:r>
            <w:r>
              <w:rPr>
                <w:rStyle w:val="1086"/>
                <w:rFonts w:ascii="Liberation Serif" w:hAnsi="Liberation Serif" w:eastAsia="Liberation Serif" w:cs="Liberation Serif"/>
                <w:b/>
                <w:bCs/>
                <w:sz w:val="20"/>
                <w:szCs w:val="20"/>
              </w:rPr>
              <w:t xml:space="preserve"> (сто шестьдесят три тысячи триста пятьдесят)</w:t>
            </w:r>
            <w:r>
              <w:rPr>
                <w:rStyle w:val="1086"/>
                <w:rFonts w:ascii="Liberation Serif" w:hAnsi="Liberation Serif" w:eastAsia="Liberation Serif" w:cs="Liberation Serif"/>
                <w:b/>
                <w:bCs/>
                <w:sz w:val="20"/>
                <w:szCs w:val="20"/>
              </w:rPr>
              <w:t xml:space="preserve"> руб. 00 копеек</w:t>
            </w:r>
            <w:r>
              <w:rPr>
                <w:rStyle w:val="1086"/>
                <w:rFonts w:ascii="Liberation Serif" w:hAnsi="Liberation Serif" w:eastAsia="Liberation Serif" w:cs="Liberation Serif"/>
                <w:b/>
                <w:bCs/>
                <w:sz w:val="20"/>
                <w:szCs w:val="20"/>
              </w:rPr>
            </w:r>
            <w:r>
              <w:rPr>
                <w:rStyle w:val="1086"/>
                <w:rFonts w:eastAsia="Calibri"/>
                <w:b/>
                <w:bCs/>
                <w:sz w:val="20"/>
              </w:rPr>
            </w:r>
          </w:p>
        </w:tc>
      </w:tr>
      <w:tr>
        <w:tblPrEx/>
        <w:trPr>
          <w:trHeight w:val="183"/>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6</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bCs/>
                <w:sz w:val="20"/>
                <w:szCs w:val="20"/>
                <w:lang w:eastAsia="ru-RU"/>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(прилагается отдельным файлом)</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jc w:val="both"/>
              <w:spacing w:after="0" w:line="240" w:lineRule="auto"/>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Начальная (максимальная) цена договора сформирована в соответствии с Техническим заданием (прилагается отдельным файлом)</w:t>
            </w:r>
            <w:r>
              <w:rPr>
                <w:rFonts w:ascii="Times New Roman" w:hAnsi="Times New Roman" w:eastAsia="Times New Roman" w:cs="Times New Roman"/>
                <w:bCs/>
                <w:sz w:val="20"/>
                <w:szCs w:val="20"/>
                <w:lang w:eastAsia="ru-RU"/>
              </w:rPr>
              <w:t xml:space="preserve">. Цена Дог</w:t>
            </w:r>
            <w:r>
              <w:rPr>
                <w:rFonts w:ascii="Times New Roman" w:hAnsi="Times New Roman" w:eastAsia="Times New Roman" w:cs="Times New Roman"/>
                <w:bCs/>
                <w:sz w:val="20"/>
                <w:szCs w:val="20"/>
                <w:lang w:eastAsia="ru-RU"/>
              </w:rPr>
              <w:t xml:space="preserve">овора указана с учетом, расходов Исполнителя: оборудование, инвентарь, расходные материалы, з/п сотрудникам (ФОТ), прочие возможные расходы, связанные с оказанием услуг, в т.ч. налоги, уплаченные или подлежащие уплате и другие обязательные сборы и платежи.</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firstLine="521"/>
              <w:jc w:val="both"/>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sz w:val="20"/>
                <w:szCs w:val="20"/>
              </w:rPr>
              <w:t xml:space="preserve">Метод обоснования начальной (максимальной) цены договора:</w:t>
            </w:r>
            <w:r>
              <w:rPr>
                <w:rFonts w:ascii="Times New Roman" w:hAnsi="Times New Roman" w:eastAsia="Times New Roman" w:cs="Times New Roman"/>
                <w:bCs/>
                <w:sz w:val="20"/>
                <w:szCs w:val="20"/>
              </w:rPr>
              <w:t xml:space="preserve"> метод сопоставимых рыночных цен (анализ рынка).</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rHeight w:val="183"/>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7</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Форма, сроки и порядок оплаты поставки, оказания услуг, выполнения работ</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Cs/>
                <w:sz w:val="20"/>
                <w:szCs w:val="20"/>
                <w:lang w:eastAsia="ru-RU"/>
              </w:rPr>
              <w:t xml:space="preserve">В соответствии с проектом договора (прилагается отдельным файлом)</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8</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
                <w:sz w:val="20"/>
                <w:szCs w:val="20"/>
                <w:lang w:eastAsia="ru-RU"/>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применяется</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9</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Сведения о валюте, используемой для формирования цены договора и расчетов с поставщиками (подрядчиками, исполнителями)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sz w:val="20"/>
                <w:szCs w:val="20"/>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10</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Порядок и сроки внесения изменений в извещение о закупке, отмены закупки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w:t>
            </w:r>
            <w:r>
              <w:rPr>
                <w:rFonts w:ascii="Times New Roman" w:hAnsi="Times New Roman" w:eastAsia="Times New Roman" w:cs="Times New Roman"/>
                <w:bCs/>
                <w:sz w:val="20"/>
                <w:szCs w:val="20"/>
                <w:lang w:eastAsia="ru-RU"/>
              </w:rPr>
              <w:t xml:space="preserve">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w:t>
            </w:r>
            <w:r>
              <w:rPr>
                <w:rFonts w:ascii="Times New Roman" w:hAnsi="Times New Roman" w:eastAsia="Times New Roman" w:cs="Times New Roman"/>
                <w:bCs/>
                <w:sz w:val="20"/>
                <w:szCs w:val="20"/>
                <w:lang w:eastAsia="ru-RU"/>
              </w:rPr>
              <w:t xml:space="preserve">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rPr>
                <w:rFonts w:ascii="Times New Roman" w:hAnsi="Times New Roman" w:eastAsia="Times New Roman" w:cs="Times New Roman"/>
                <w:bCs/>
                <w:sz w:val="20"/>
                <w:szCs w:val="20"/>
                <w:lang w:eastAsia="ru-RU"/>
              </w:rPr>
              <w:t xml:space="preserve">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11</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извещения о закупке</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В течение трех рабочих дней с даты п</w:t>
            </w:r>
            <w:r>
              <w:rPr>
                <w:rFonts w:ascii="Times New Roman" w:hAnsi="Times New Roman" w:eastAsia="Times New Roman" w:cs="Times New Roman"/>
                <w:bCs/>
                <w:sz w:val="20"/>
                <w:szCs w:val="20"/>
                <w:lang w:eastAsia="ru-RU"/>
              </w:rPr>
              <w:t xml:space="preserve">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Запрос и разъяснения положений документации о закупке направляются/размещаются в соответствии с регламентом ЭТП.</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12</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Возможность заказчика заключить договор с несколькими участниками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предусмотрена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13</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Срок подписания договора участником закупки, с которым заключается договор</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w:t>
            </w:r>
            <w:r>
              <w:rPr>
                <w:rFonts w:ascii="Times New Roman" w:hAnsi="Times New Roman" w:eastAsia="Times New Roman" w:cs="Times New Roman"/>
                <w:bCs/>
                <w:sz w:val="20"/>
                <w:szCs w:val="20"/>
                <w:lang w:eastAsia="ru-RU"/>
              </w:rPr>
              <w:t xml:space="preserve">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14</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Предоставление закупочной документации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15</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заявки на участие в закупке</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16</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исполнения договора</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17</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гарантийных обязательств</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18</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Требования к участникам закупки (указанные в настоящем разделе требования предъявляются в равной мере ко всем участникам закупок):</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775"/>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w:t>
            </w:r>
            <w:r>
              <w:rPr>
                <w:rFonts w:ascii="Times New Roman" w:hAnsi="Times New Roman" w:eastAsia="Times New Roman" w:cs="Times New Roman"/>
                <w:sz w:val="20"/>
                <w:szCs w:val="20"/>
                <w:lang w:eastAsia="ru-RU"/>
              </w:rPr>
              <w:t xml:space="preserve">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w:t>
            </w:r>
            <w:r>
              <w:rPr>
                <w:rFonts w:ascii="Times New Roman" w:hAnsi="Times New Roman" w:eastAsia="Times New Roman" w:cs="Times New Roman"/>
                <w:sz w:val="20"/>
                <w:szCs w:val="20"/>
                <w:lang w:eastAsia="ru-RU"/>
              </w:rPr>
              <w:t xml:space="preserve">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w:t>
            </w:r>
            <w:r>
              <w:rPr>
                <w:rFonts w:ascii="Times New Roman" w:hAnsi="Times New Roman" w:eastAsia="Times New Roman" w:cs="Times New Roman"/>
                <w:sz w:val="20"/>
                <w:szCs w:val="20"/>
                <w:lang w:eastAsia="ru-RU"/>
              </w:rPr>
              <w:t xml:space="preserve">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Единые (обязательные) требования к участникам закупки: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 соответствие 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w:t>
            </w:r>
            <w:r>
              <w:rPr>
                <w:rFonts w:ascii="Times New Roman" w:hAnsi="Times New Roman" w:eastAsia="Times New Roman" w:cs="Times New Roman"/>
                <w:sz w:val="20"/>
                <w:szCs w:val="20"/>
                <w:lang w:eastAsia="ru-RU"/>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Times New Roman" w:hAnsi="Times New Roman" w:eastAsia="Times New Roman" w:cs="Times New Roman"/>
                <w:sz w:val="20"/>
                <w:szCs w:val="20"/>
                <w:lang w:eastAsia="ru-RU"/>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Times New Roman" w:hAnsi="Times New Roman" w:eastAsia="Times New Roman" w:cs="Times New Roman"/>
                <w:sz w:val="20"/>
                <w:szCs w:val="20"/>
                <w:lang w:eastAsia="ru-RU"/>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Times New Roman" w:hAnsi="Times New Roman" w:eastAsia="Times New Roman" w:cs="Times New Roman"/>
                <w:sz w:val="20"/>
                <w:szCs w:val="20"/>
                <w:lang w:eastAsia="ru-RU"/>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Times New Roman" w:hAnsi="Times New Roman" w:eastAsia="Times New Roman" w:cs="Times New Roman"/>
                <w:sz w:val="20"/>
                <w:szCs w:val="20"/>
                <w:lang w:eastAsia="ru-RU"/>
              </w:rPr>
              <w:t xml:space="preserve">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5) отсутствие у участника закупки</w:t>
            </w:r>
            <w:r>
              <w:rPr>
                <w:rFonts w:ascii="Times New Roman" w:hAnsi="Times New Roman" w:eastAsia="Times New Roman" w:cs="Times New Roman"/>
                <w:sz w:val="20"/>
                <w:szCs w:val="20"/>
                <w:lang w:eastAsia="ru-RU"/>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Times New Roman" w:hAnsi="Times New Roman" w:eastAsia="Times New Roman" w:cs="Times New Roman"/>
                <w:sz w:val="20"/>
                <w:szCs w:val="20"/>
                <w:lang w:eastAsia="ru-RU"/>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Times New Roman" w:hAnsi="Times New Roman" w:eastAsia="Times New Roman" w:cs="Times New Roman"/>
                <w:sz w:val="20"/>
                <w:szCs w:val="20"/>
                <w:lang w:eastAsia="ru-RU"/>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6) участник закупки - юридическое лицо, которое в т</w:t>
            </w:r>
            <w:r>
              <w:rPr>
                <w:rFonts w:ascii="Times New Roman" w:hAnsi="Times New Roman" w:eastAsia="Times New Roman" w:cs="Times New Roman"/>
                <w:sz w:val="20"/>
                <w:szCs w:val="20"/>
                <w:lang w:eastAsia="ru-RU"/>
              </w:rPr>
              <w:t xml:space="preserve">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7) обладание участником закупки исключительными правами на результаты интеллектуальной деятель</w:t>
            </w:r>
            <w:r>
              <w:rPr>
                <w:rFonts w:ascii="Times New Roman" w:hAnsi="Times New Roman" w:eastAsia="Times New Roman" w:cs="Times New Roman"/>
                <w:sz w:val="20"/>
                <w:szCs w:val="20"/>
                <w:lang w:eastAsia="ru-RU"/>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8) отсутствие обстоятельств, при которых дол</w:t>
            </w:r>
            <w:r>
              <w:rPr>
                <w:rFonts w:ascii="Times New Roman" w:hAnsi="Times New Roman" w:eastAsia="Times New Roman" w:cs="Times New Roman"/>
                <w:sz w:val="20"/>
                <w:szCs w:val="20"/>
                <w:lang w:eastAsia="ru-RU"/>
              </w:rPr>
              <w:t xml:space="preserve">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w:t>
            </w:r>
            <w:r>
              <w:rPr>
                <w:rFonts w:ascii="Times New Roman" w:hAnsi="Times New Roman" w:eastAsia="Times New Roman" w:cs="Times New Roman"/>
                <w:sz w:val="20"/>
                <w:szCs w:val="20"/>
                <w:lang w:eastAsia="ru-RU"/>
              </w:rPr>
              <w:t xml:space="preserve">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а) физическим лицом (в том числе зарегистрированным в качестве индивидуального предпринимателя), являющимся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w:t>
            </w:r>
            <w:r>
              <w:rPr>
                <w:rFonts w:ascii="Times New Roman" w:hAnsi="Times New Roman" w:eastAsia="Times New Roman" w:cs="Times New Roman"/>
                <w:sz w:val="20"/>
                <w:szCs w:val="20"/>
                <w:lang w:eastAsia="ru-RU"/>
              </w:rPr>
              <w:t xml:space="preserve">тивного юридического лица, являющегося участником закупки. Выгодоприобретателем для целей настоящего положения является физическое лицо, которое владеет напрямую или косвенно (через юридическое лицо или через несколько юридических лиц) более чем десятью пр</w:t>
            </w:r>
            <w:r>
              <w:rPr>
                <w:rFonts w:ascii="Times New Roman" w:hAnsi="Times New Roman" w:eastAsia="Times New Roman" w:cs="Times New Roman"/>
                <w:sz w:val="20"/>
                <w:szCs w:val="20"/>
                <w:lang w:eastAsia="ru-RU"/>
              </w:rPr>
              <w:t xml:space="preserve">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9) участник </w:t>
            </w:r>
            <w:r>
              <w:rPr>
                <w:rFonts w:ascii="Times New Roman" w:hAnsi="Times New Roman" w:eastAsia="Times New Roman" w:cs="Times New Roman"/>
                <w:sz w:val="20"/>
                <w:szCs w:val="20"/>
                <w:lang w:eastAsia="ru-RU"/>
              </w:rPr>
              <w:t xml:space="preserve">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w:t>
            </w:r>
            <w:r>
              <w:rPr>
                <w:rFonts w:ascii="Times New Roman" w:hAnsi="Times New Roman" w:eastAsia="Times New Roman" w:cs="Times New Roman"/>
                <w:sz w:val="20"/>
                <w:szCs w:val="20"/>
                <w:lang w:eastAsia="ru-RU"/>
              </w:rPr>
              <w:t xml:space="preserve">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10) участник закупки не является иностранным агентом;</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11) отсутствие у участника закупки ограничений для участия в закупках, установленных законодательством Российской Федерации.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12) отсутствие информации об участнике закупки в реестре недобросовестных поставщиков, предусмотренном ст. 5 Закона № 223-ФЗ, и (или) в реестре недобросовестных поставщиков, предусмотренном Законом № 44-ФЗ.</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19</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Дополнительные требования к участникам закупки (указанные в настоящем разделе требования предъявляются в равной мере ко всем участникам закупок):</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Не установлены</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20</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highlight w:val="green"/>
                <w:lang w:eastAsia="ru-RU"/>
              </w:rPr>
            </w:pPr>
            <w:r>
              <w:rPr>
                <w:rFonts w:ascii="Times New Roman" w:hAnsi="Times New Roman" w:eastAsia="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w:t>
            </w:r>
            <w:r>
              <w:rPr>
                <w:rFonts w:ascii="Times New Roman" w:hAnsi="Times New Roman" w:eastAsia="Times New Roman" w:cs="Times New Roman"/>
                <w:b/>
                <w:sz w:val="20"/>
                <w:szCs w:val="20"/>
                <w:lang w:eastAsia="ru-RU"/>
              </w:rPr>
              <w:t xml:space="preserve">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r>
              <w:rPr>
                <w:rFonts w:ascii="Times New Roman" w:hAnsi="Times New Roman" w:eastAsia="Times New Roman" w:cs="Times New Roman"/>
                <w:b/>
                <w:sz w:val="20"/>
                <w:szCs w:val="20"/>
                <w:highlight w:val="green"/>
                <w:lang w:eastAsia="ru-RU"/>
              </w:rPr>
            </w:r>
            <w:r>
              <w:rPr>
                <w:rFonts w:ascii="Times New Roman" w:hAnsi="Times New Roman" w:eastAsia="Times New Roman" w:cs="Times New Roman"/>
                <w:b/>
                <w:sz w:val="20"/>
                <w:szCs w:val="20"/>
                <w:highlight w:val="green"/>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устанавливаются</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21</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содержанию, форме, оформлению и составу заявки на участие в закупке в электронной форме</w:t>
            </w:r>
            <w:r>
              <w:rPr>
                <w:rStyle w:val="1015"/>
                <w:rFonts w:ascii="Times New Roman" w:hAnsi="Times New Roman" w:eastAsia="Times New Roman" w:cs="Times New Roman"/>
                <w:b/>
                <w:sz w:val="20"/>
                <w:szCs w:val="20"/>
                <w:lang w:eastAsia="ru-RU"/>
              </w:rPr>
              <w:footnoteReference w:id="3"/>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1) согласие участника закупки на поставку товара, выполнение работы или оказание услуги на условиях, предусмотренных извещением об осуществлении конкурентной закупки и (или) документаци</w:t>
            </w:r>
            <w:r>
              <w:rPr>
                <w:rFonts w:ascii="Times New Roman" w:hAnsi="Times New Roman" w:cs="Times New Roman"/>
                <w:sz w:val="20"/>
                <w:szCs w:val="20"/>
              </w:rPr>
              <w:t xml:space="preserve">ей о конкурентной закупке и не подлежащих изменению по результатам проведения закупочной процедуры. В случае осуществления конкурентной закупки в электронной форме такое согласие участник закупки может подать с применением программно-аппаратных средств ЭП;</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2) описание поставляемого товара, </w:t>
            </w:r>
            <w:r>
              <w:rPr>
                <w:rFonts w:ascii="Times New Roman" w:hAnsi="Times New Roman" w:cs="Times New Roman"/>
                <w:sz w:val="20"/>
                <w:szCs w:val="20"/>
              </w:rPr>
              <w:t xml:space="preserve">выполняемой работы, оказываемой услуги, которые являются предметом закупки в соответствии с требованиями документации о конкурентной закупке. При осуществлении закупки товара или закупки работы, услуги, для выполнения, оказания которых используется товар: </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а) конкретные показатели товара, соответствующие значениям, установленным извещением об осуществлении конкурентной закупки и (или) документацией о конкурентной закупке, указание на товарный знак (его словесное обозначение) (при наличии). </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б) инфор</w:t>
            </w:r>
            <w:r>
              <w:rPr>
                <w:rFonts w:ascii="Times New Roman" w:hAnsi="Times New Roman" w:cs="Times New Roman"/>
                <w:sz w:val="20"/>
                <w:szCs w:val="20"/>
              </w:rPr>
              <w:t xml:space="preserve">мацию и документы, определенные Правительством Российской Федерации, в соответствии с пунктом 2 части 2 статьи 3.1.-4 Закона 223-ФЗ, которые подтверждают страну происхождения товара, в случае, если при осуществлении закупки промышленной продукции установле</w:t>
            </w:r>
            <w:r>
              <w:rPr>
                <w:rFonts w:ascii="Times New Roman" w:hAnsi="Times New Roman" w:cs="Times New Roman"/>
                <w:sz w:val="20"/>
                <w:szCs w:val="20"/>
              </w:rPr>
              <w:t xml:space="preserve">ны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или ограничение закупок товар</w:t>
            </w:r>
            <w:r>
              <w:rPr>
                <w:rFonts w:ascii="Times New Roman" w:hAnsi="Times New Roman" w:cs="Times New Roman"/>
                <w:sz w:val="20"/>
                <w:szCs w:val="20"/>
              </w:rPr>
              <w:t xml:space="preserve">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w:t>
            </w:r>
            <w:r>
              <w:rPr>
                <w:rFonts w:ascii="Times New Roman" w:hAnsi="Times New Roman" w:cs="Times New Roman"/>
                <w:sz w:val="20"/>
                <w:szCs w:val="20"/>
              </w:rPr>
              <w:t xml:space="preserve">оваров российского происхождения или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3)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w:t>
            </w:r>
            <w:r>
              <w:rPr>
                <w:rFonts w:ascii="Times New Roman" w:hAnsi="Times New Roman" w:cs="Times New Roman"/>
                <w:sz w:val="20"/>
                <w:szCs w:val="20"/>
              </w:rPr>
              <w:t xml:space="preserve">ый адрес участника закупки, адрес электронной почты,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w:t>
            </w:r>
            <w:r>
              <w:rPr>
                <w:rFonts w:ascii="Times New Roman" w:hAnsi="Times New Roman" w:cs="Times New Roman"/>
                <w:sz w:val="20"/>
                <w:szCs w:val="20"/>
              </w:rPr>
              <w:t xml:space="preserve">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4)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w:t>
            </w:r>
            <w:r>
              <w:rPr>
                <w:rFonts w:ascii="Times New Roman" w:hAnsi="Times New Roman" w:cs="Times New Roman"/>
                <w:sz w:val="20"/>
                <w:szCs w:val="20"/>
              </w:rPr>
              <w:t xml:space="preserve">елей (для индивидуального предпринимателя), полученную не ранее чем за шесть месяцев до даты размещения в ЕИС извещения о проведении конкурентной закупки (полученную не ранее чем за шесть месяцев до дня получения приглашения об участии в конкурентной закуп</w:t>
            </w:r>
            <w:r>
              <w:rPr>
                <w:rFonts w:ascii="Times New Roman" w:hAnsi="Times New Roman" w:cs="Times New Roman"/>
                <w:sz w:val="20"/>
                <w:szCs w:val="20"/>
              </w:rPr>
              <w:t xml:space="preserve">ке), либо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w:t>
            </w:r>
            <w:r>
              <w:rPr>
                <w:rFonts w:ascii="Times New Roman" w:hAnsi="Times New Roman" w:cs="Times New Roman"/>
                <w:sz w:val="20"/>
                <w:szCs w:val="20"/>
              </w:rPr>
              <w:t xml:space="preserve">иностранного лица)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5) документ, подтверждающий полномочия лица на осуществление действий от имени участника закупки, а именно копия </w:t>
            </w:r>
            <w:r>
              <w:rPr>
                <w:rFonts w:ascii="Times New Roman" w:hAnsi="Times New Roman" w:cs="Times New Roman"/>
                <w:sz w:val="20"/>
                <w:szCs w:val="20"/>
              </w:rPr>
              <w:t xml:space="preserve">решения о назначении или об избрании на должность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В случае ес</w:t>
            </w:r>
            <w:r>
              <w:rPr>
                <w:rFonts w:ascii="Times New Roman" w:hAnsi="Times New Roman" w:cs="Times New Roman"/>
                <w:sz w:val="20"/>
                <w:szCs w:val="20"/>
              </w:rPr>
              <w:t xml:space="preserve">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w:t>
            </w:r>
            <w:r>
              <w:rPr>
                <w:rFonts w:ascii="Times New Roman" w:hAnsi="Times New Roman" w:cs="Times New Roman"/>
                <w:sz w:val="20"/>
                <w:szCs w:val="20"/>
              </w:rPr>
              <w:t xml:space="preserve">а закупки (для юридических лиц), уполномоченным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В случае если участник закупки</w:t>
            </w:r>
            <w:r>
              <w:rPr>
                <w:rFonts w:ascii="Times New Roman" w:hAnsi="Times New Roman" w:cs="Times New Roman"/>
                <w:sz w:val="20"/>
                <w:szCs w:val="20"/>
              </w:rPr>
              <w:t xml:space="preserve"> в порядке, предусмотренном законодательством Российской Федерации, осуществление полномочий своего единоличного исполнительного органа передал управляющей организации или индивидуальному предпринимателю (управляющему), в составе заявки на участие в закупк</w:t>
            </w:r>
            <w:r>
              <w:rPr>
                <w:rFonts w:ascii="Times New Roman" w:hAnsi="Times New Roman" w:cs="Times New Roman"/>
                <w:sz w:val="20"/>
                <w:szCs w:val="20"/>
              </w:rPr>
              <w:t xml:space="preserve">е такой участник должен предоставить копию такого решения, а также копию договора о передаче полномочий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6) копии учредительных документов участника закупки (для юридических лиц)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7) решение об одобрении или о совершении крупной сделки в случае, если требование о необходимости наличия так</w:t>
            </w:r>
            <w:r>
              <w:rPr>
                <w:rFonts w:ascii="Times New Roman" w:hAnsi="Times New Roman" w:cs="Times New Roman"/>
                <w:sz w:val="20"/>
                <w:szCs w:val="20"/>
              </w:rPr>
              <w:t xml:space="preserve">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w:t>
            </w:r>
            <w:r>
              <w:rPr>
                <w:rFonts w:ascii="Times New Roman" w:hAnsi="Times New Roman" w:cs="Times New Roman"/>
                <w:sz w:val="20"/>
                <w:szCs w:val="20"/>
              </w:rPr>
              <w:t xml:space="preserve">честве обеспечения заявки на участие в закупке, обеспечения исполнения договора являются крупной сделкой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8) документы, подтверждающие соответствие участника закупки требованиям, установленным Заказчиком в документации о конкурентной закупке в соответствии с </w:t>
            </w:r>
            <w:r>
              <w:rPr>
                <w:rFonts w:ascii="Times New Roman" w:hAnsi="Times New Roman" w:cs="Times New Roman"/>
                <w:sz w:val="20"/>
                <w:szCs w:val="20"/>
              </w:rPr>
              <w:t xml:space="preserve">п.п</w:t>
            </w:r>
            <w:r>
              <w:rPr>
                <w:rFonts w:ascii="Times New Roman" w:hAnsi="Times New Roman" w:cs="Times New Roman"/>
                <w:sz w:val="20"/>
                <w:szCs w:val="20"/>
              </w:rPr>
              <w:t xml:space="preserve">. 1 п. 18 информационной карты:</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А ТАКЖЕ ДЕКЛАРАЦИЮ</w:t>
            </w:r>
            <w:r>
              <w:rPr>
                <w:rFonts w:ascii="Times New Roman" w:hAnsi="Times New Roman" w:cs="Times New Roman"/>
                <w:sz w:val="20"/>
                <w:szCs w:val="20"/>
              </w:rPr>
              <w:t xml:space="preserve"> о соответствии участника закупки требованиям, установленным в соответствии с </w:t>
            </w:r>
            <w:r>
              <w:rPr>
                <w:rFonts w:ascii="Times New Roman" w:hAnsi="Times New Roman" w:cs="Times New Roman"/>
                <w:sz w:val="20"/>
                <w:szCs w:val="20"/>
              </w:rPr>
              <w:t xml:space="preserve">п.п</w:t>
            </w:r>
            <w:r>
              <w:rPr>
                <w:rFonts w:ascii="Times New Roman" w:hAnsi="Times New Roman" w:cs="Times New Roman"/>
                <w:sz w:val="20"/>
                <w:szCs w:val="20"/>
              </w:rPr>
              <w:t xml:space="preserve">. 2 – 12 п. 18 информационной карты;</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9) документы, подтверждающие соответствие товара, работы или услуги требованиям, установленным в соответствии с законодательством Российской Федерации и перечень которых определен документацией о закупке;</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10) документы, подтверждающие внесение обеспечения заявки на участие в конкурентной закупке (платежное поручение, подтверждающее перечисление денежных средств в качестве обеспечения заявки на у</w:t>
            </w:r>
            <w:r>
              <w:rPr>
                <w:rFonts w:ascii="Times New Roman" w:hAnsi="Times New Roman" w:cs="Times New Roman"/>
                <w:sz w:val="20"/>
                <w:szCs w:val="20"/>
              </w:rPr>
              <w:t xml:space="preserve">частие в такой закупке, или копия этого платежного поручения либо банковская/ независимая гарантия, соответствующая требованиям настоящего положения), в случае, если Заказчиком установлено требование об обеспечении заявки на участие в конкурентной закупке;</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11) предложение участника запроса котировок в электронной форме о цене договора.</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cs="Times New Roman"/>
                <w:i/>
                <w:iCs/>
                <w:sz w:val="20"/>
                <w:szCs w:val="20"/>
              </w:rPr>
              <w:t xml:space="preserve">12)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w:t>
            </w:r>
            <w:r>
              <w:rPr>
                <w:rFonts w:ascii="Times New Roman" w:hAnsi="Times New Roman" w:cs="Times New Roman"/>
                <w:i/>
                <w:iCs/>
                <w:sz w:val="20"/>
                <w:szCs w:val="20"/>
              </w:rPr>
              <w:t xml:space="preserve">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Pr>
                <w:rFonts w:ascii="Times New Roman" w:hAnsi="Times New Roman" w:cs="Times New Roman"/>
                <w:b/>
                <w:bCs/>
                <w:sz w:val="20"/>
                <w:szCs w:val="20"/>
              </w:rPr>
              <w:t xml:space="preserve">не установлено.</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22</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Информация и сведения, подтверждающее страну происхождения товара</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p>
            <w:pPr>
              <w:contextualSpacing/>
              <w:ind w:left="34" w:firstLine="5"/>
              <w:jc w:val="center"/>
              <w:spacing w:after="0" w:line="240" w:lineRule="auto"/>
              <w:widowControl w:val="off"/>
              <w:rPr>
                <w:rFonts w:ascii="Times New Roman" w:hAnsi="Times New Roman" w:eastAsia="Times New Roman" w:cs="Times New Roman"/>
                <w:b/>
                <w:sz w:val="20"/>
                <w:szCs w:val="20"/>
                <w:highlight w:val="green"/>
                <w:lang w:eastAsia="ru-RU"/>
              </w:rPr>
            </w:pPr>
            <w:r>
              <w:rPr>
                <w:rFonts w:ascii="Times New Roman" w:hAnsi="Times New Roman" w:eastAsia="Times New Roman" w:cs="Times New Roman"/>
                <w:b/>
                <w:sz w:val="20"/>
                <w:szCs w:val="20"/>
                <w:lang w:eastAsia="ru-RU"/>
              </w:rPr>
              <w:t xml:space="preserve">(отражаются в квалификационной части заявки на участие в закупке):</w:t>
            </w:r>
            <w:r>
              <w:rPr>
                <w:rFonts w:ascii="Times New Roman" w:hAnsi="Times New Roman" w:eastAsia="Times New Roman" w:cs="Times New Roman"/>
                <w:b/>
                <w:sz w:val="20"/>
                <w:szCs w:val="20"/>
                <w:highlight w:val="green"/>
                <w:lang w:eastAsia="ru-RU"/>
              </w:rPr>
            </w:r>
            <w:r>
              <w:rPr>
                <w:rFonts w:ascii="Times New Roman" w:hAnsi="Times New Roman" w:eastAsia="Times New Roman" w:cs="Times New Roman"/>
                <w:b/>
                <w:sz w:val="20"/>
                <w:szCs w:val="20"/>
                <w:highlight w:val="green"/>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jc w:val="center"/>
              <w:spacing w:after="0"/>
              <w:rPr>
                <w:rFonts w:ascii="Times New Roman" w:hAnsi="Times New Roman" w:eastAsia="Times New Roman" w:cs="Times New Roman"/>
                <w:bCs/>
                <w:sz w:val="20"/>
                <w:szCs w:val="20"/>
                <w:highlight w:val="green"/>
                <w:lang w:eastAsia="ru-RU"/>
              </w:rPr>
            </w:pPr>
            <w:r>
              <w:rPr>
                <w:rFonts w:ascii="Times New Roman" w:hAnsi="Times New Roman" w:cs="Times New Roman"/>
                <w:sz w:val="20"/>
                <w:szCs w:val="20"/>
              </w:rPr>
              <w:t xml:space="preserve">Не установлено</w:t>
            </w:r>
            <w:r>
              <w:rPr>
                <w:rFonts w:ascii="Times New Roman" w:hAnsi="Times New Roman" w:eastAsia="Times New Roman" w:cs="Times New Roman"/>
                <w:bCs/>
                <w:sz w:val="20"/>
                <w:szCs w:val="20"/>
                <w:highlight w:val="green"/>
                <w:lang w:eastAsia="ru-RU"/>
              </w:rPr>
            </w:r>
            <w:r>
              <w:rPr>
                <w:rFonts w:ascii="Times New Roman" w:hAnsi="Times New Roman" w:eastAsia="Times New Roman" w:cs="Times New Roman"/>
                <w:bCs/>
                <w:sz w:val="20"/>
                <w:szCs w:val="20"/>
                <w:highlight w:val="green"/>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23</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Антидемпинговые меры</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87"/>
              <w:jc w:val="center"/>
              <w:spacing w:after="0" w:line="240" w:lineRule="auto"/>
              <w:widowControl w:val="off"/>
              <w:rPr>
                <w:rFonts w:ascii="Times New Roman" w:hAnsi="Times New Roman" w:eastAsia="Times New Roman" w:cs="Times New Roman"/>
                <w:sz w:val="20"/>
                <w:szCs w:val="20"/>
                <w:highlight w:val="green"/>
                <w:lang w:eastAsia="ru-RU"/>
              </w:rPr>
            </w:pPr>
            <w:r>
              <w:rPr>
                <w:rFonts w:ascii="Times New Roman" w:hAnsi="Times New Roman" w:cs="Times New Roman"/>
                <w:sz w:val="20"/>
                <w:szCs w:val="20"/>
              </w:rPr>
              <w:t xml:space="preserve">Не установлено</w:t>
            </w:r>
            <w:r>
              <w:rPr>
                <w:rFonts w:ascii="Times New Roman" w:hAnsi="Times New Roman" w:eastAsia="Times New Roman" w:cs="Times New Roman"/>
                <w:sz w:val="20"/>
                <w:szCs w:val="20"/>
                <w:highlight w:val="green"/>
                <w:lang w:eastAsia="ru-RU"/>
              </w:rPr>
            </w:r>
            <w:r>
              <w:rPr>
                <w:rFonts w:ascii="Times New Roman" w:hAnsi="Times New Roman" w:eastAsia="Times New Roman" w:cs="Times New Roman"/>
                <w:sz w:val="20"/>
                <w:szCs w:val="20"/>
                <w:highlight w:val="green"/>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24</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sz w:val="20"/>
                <w:szCs w:val="20"/>
                <w:u w:val="single"/>
                <w:lang w:eastAsia="ru-RU"/>
              </w:rPr>
            </w:pPr>
            <w:r>
              <w:rPr>
                <w:rFonts w:ascii="Times New Roman" w:hAnsi="Times New Roman" w:eastAsia="Times New Roman" w:cs="Times New Roman"/>
                <w:b/>
                <w:bCs/>
                <w:sz w:val="20"/>
                <w:szCs w:val="20"/>
                <w:lang w:eastAsia="ru-RU"/>
              </w:rPr>
              <w:t xml:space="preserve">Порядок, место, срок подачи заявок на участие в закупке</w:t>
            </w:r>
            <w:r>
              <w:rPr>
                <w:rFonts w:ascii="Times New Roman" w:hAnsi="Times New Roman" w:eastAsia="Times New Roman" w:cs="Times New Roman"/>
                <w:sz w:val="20"/>
                <w:szCs w:val="20"/>
                <w:u w:val="single"/>
                <w:lang w:eastAsia="ru-RU"/>
              </w:rPr>
            </w:r>
            <w:r>
              <w:rPr>
                <w:rFonts w:ascii="Times New Roman" w:hAnsi="Times New Roman" w:eastAsia="Times New Roman" w:cs="Times New Roman"/>
                <w:sz w:val="20"/>
                <w:szCs w:val="20"/>
                <w:u w:val="single"/>
                <w:lang w:eastAsia="ru-RU"/>
              </w:rPr>
            </w:r>
          </w:p>
        </w:tc>
      </w:tr>
      <w:tr>
        <w:tblPrEx/>
        <w:trPr>
          <w:trHeight w:val="699"/>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Порядок подачи заявки на участие в закупке в электронной форме: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w:t>
            </w:r>
            <w:r>
              <w:rPr>
                <w:rFonts w:ascii="Times New Roman" w:hAnsi="Times New Roman" w:eastAsia="Times New Roman" w:cs="Times New Roman"/>
                <w:sz w:val="20"/>
                <w:szCs w:val="20"/>
                <w:lang w:eastAsia="ru-RU"/>
              </w:rPr>
              <w:tab/>
              <w:t xml:space="preserve">подать заявку на участие в закупке в электронной форме может только лицо, аккредитованное на ЭП в порядке, установленном оператором ЭП, на которой проводится закупка в электронной форме;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w:t>
            </w:r>
            <w:r>
              <w:rPr>
                <w:rFonts w:ascii="Times New Roman" w:hAnsi="Times New Roman" w:eastAsia="Times New Roman" w:cs="Times New Roman"/>
                <w:sz w:val="20"/>
                <w:szCs w:val="20"/>
                <w:lang w:eastAsia="ru-RU"/>
              </w:rPr>
              <w:tab/>
              <w:t xml:space="preserve">участник </w:t>
            </w:r>
            <w:bookmarkStart w:id="2" w:name="OLE_LINK1"/>
            <w:r>
              <w:rPr>
                <w:rFonts w:ascii="Times New Roman" w:hAnsi="Times New Roman" w:eastAsia="Times New Roman" w:cs="Times New Roman"/>
                <w:sz w:val="20"/>
                <w:szCs w:val="20"/>
                <w:lang w:eastAsia="ru-RU"/>
              </w:rPr>
              <w:t xml:space="preserve">закупки </w:t>
            </w:r>
            <w:bookmarkEnd w:id="2"/>
            <w:r>
              <w:rPr>
                <w:rFonts w:ascii="Times New Roman" w:hAnsi="Times New Roman" w:eastAsia="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извещении о конкурентной закупке;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w:t>
            </w:r>
            <w:r>
              <w:rPr>
                <w:rFonts w:ascii="Times New Roman" w:hAnsi="Times New Roman" w:eastAsia="Times New Roman" w:cs="Times New Roman"/>
                <w:sz w:val="20"/>
                <w:szCs w:val="20"/>
                <w:lang w:eastAsia="ru-RU"/>
              </w:rPr>
              <w:tab/>
              <w:t xml:space="preserve">заявка подается до окончания, установленного в извещении о конкурентной закупке срока подачи заявок. Участник закупки в электронной форме вправе подать только одну заявку;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w:t>
            </w:r>
            <w:r>
              <w:rPr>
                <w:rFonts w:ascii="Times New Roman" w:hAnsi="Times New Roman" w:eastAsia="Times New Roman" w:cs="Times New Roman"/>
                <w:sz w:val="20"/>
                <w:szCs w:val="20"/>
                <w:lang w:eastAsia="ru-RU"/>
              </w:rPr>
              <w:tab/>
              <w:t xml:space="preserve">заявка подготавливается и подается посредством программно-аппаратных средств ЭП согласно регламенту работы ЭП;</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5)</w:t>
            </w:r>
            <w:r>
              <w:rPr>
                <w:rFonts w:ascii="Times New Roman" w:hAnsi="Times New Roman" w:eastAsia="Times New Roman" w:cs="Times New Roman"/>
                <w:sz w:val="20"/>
                <w:szCs w:val="20"/>
                <w:lang w:eastAsia="ru-RU"/>
              </w:rPr>
              <w:tab/>
              <w:t xml:space="preserve">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номер (далее — номер участника);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sz w:val="20"/>
                <w:szCs w:val="20"/>
                <w:lang w:eastAsia="ru-RU"/>
              </w:rPr>
              <w:t xml:space="preserve">6)</w:t>
            </w:r>
            <w:r>
              <w:rPr>
                <w:rFonts w:ascii="Times New Roman" w:hAnsi="Times New Roman" w:eastAsia="Times New Roman" w:cs="Times New Roman"/>
                <w:sz w:val="20"/>
                <w:szCs w:val="20"/>
                <w:lang w:eastAsia="ru-RU"/>
              </w:rPr>
              <w:tab/>
              <w:t xml:space="preserve">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25</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87"/>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Условия допуска к участию и отстранения от участия в закупке:</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 Заказчик (комиссия по закупкам) отказывает участнику закупки в допуске к участию в процедуре закупки в следующих случаях:</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 выявлено несоответствие участника хотя бы одному из требований, перечисленных в разделе 18 настоящего извещения;</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 участник закупки и (или) его заявка не соответствуют требованиям извещения о закупке (извещению);</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 участник закупки не представил документы, необходимые для участия в процедуре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 в представленных документах или в заявке указаны недостоверные сведения об участнике закупки и (или) о товарах, работах, услугах;</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r/>
            <w:bookmarkStart w:id="4" w:name="OLE_LINK4"/>
            <w:r>
              <w:rPr>
                <w:rFonts w:ascii="Times New Roman" w:hAnsi="Times New Roman" w:eastAsia="Times New Roman" w:cs="Times New Roman"/>
                <w:sz w:val="20"/>
                <w:szCs w:val="20"/>
                <w:lang w:eastAsia="ru-RU"/>
              </w:rPr>
              <w:t xml:space="preserve">извещением </w:t>
            </w:r>
            <w:bookmarkEnd w:id="3"/>
            <w:r/>
            <w:bookmarkEnd w:id="4"/>
            <w:r>
              <w:rPr>
                <w:rFonts w:ascii="Times New Roman" w:hAnsi="Times New Roman" w:eastAsia="Times New Roman" w:cs="Times New Roman"/>
                <w:sz w:val="20"/>
                <w:szCs w:val="20"/>
                <w:lang w:eastAsia="ru-RU"/>
              </w:rPr>
              <w:t xml:space="preserve">о закупке.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договора с победителе</w:t>
            </w:r>
            <w:r>
              <w:rPr>
                <w:rFonts w:ascii="Times New Roman" w:hAnsi="Times New Roman" w:eastAsia="Times New Roman" w:cs="Times New Roman"/>
                <w:sz w:val="20"/>
                <w:szCs w:val="20"/>
                <w:lang w:eastAsia="ru-RU"/>
              </w:rPr>
              <w:t xml:space="preserve">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 Заказчик (комиссия по закупкам) отказывает участнику закупки в допуске к участию в процедуре закупки по иным основаниям, предусмотренным документацией (извещением) о закупке или Положением о закупке Заказчика.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 В случае выявления фактов, предусмотренных в пункте 1, 2, 3 </w:t>
            </w:r>
            <w:r>
              <w:rPr>
                <w:rFonts w:ascii="Times New Roman" w:hAnsi="Times New Roman" w:eastAsia="Times New Roman" w:cs="Times New Roman"/>
                <w:sz w:val="20"/>
                <w:szCs w:val="20"/>
                <w:lang w:eastAsia="ru-RU"/>
              </w:rPr>
              <w:t xml:space="preserve">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196"/>
        </w:trPr>
        <w:tc>
          <w:tcPr>
            <w:shd w:val="clear" w:color="auto" w:fill="ffffff"/>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26</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Отдельными файлами прилагаются:</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96"/>
        </w:trPr>
        <w:tc>
          <w:tcPr>
            <w:shd w:val="clear" w:color="auto" w:fill="ffffff"/>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1. Описание предмета закупки (Техническое задание);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2. Проект договора;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3. Обоснование НМЦД;</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4. Рекомендуемая форма заявки участника закупки.</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96"/>
        </w:trPr>
        <w:tc>
          <w:tcPr>
            <w:shd w:val="clear" w:color="auto" w:fill="ffffff"/>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27</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
                <w:sz w:val="20"/>
                <w:szCs w:val="20"/>
                <w:lang w:eastAsia="ru-RU"/>
              </w:rPr>
              <w:t xml:space="preserve">Иные требования, определенные Положением о закупке товаров, работ, услуг Заказчика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96"/>
        </w:trPr>
        <w:tc>
          <w:tcPr>
            <w:shd w:val="clear" w:color="auto" w:fill="ffffff"/>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установлены</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bl>
    <w:p>
      <w:pPr>
        <w:spacing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sectPr>
      <w:footerReference w:type="default" r:id="rId9"/>
      <w:footnotePr/>
      <w:endnotePr/>
      <w:type w:val="nextPage"/>
      <w:pgSz w:w="11906" w:h="16838" w:orient="portrait"/>
      <w:pgMar w:top="568" w:right="907" w:bottom="567" w:left="1134" w:header="720" w:footer="720" w:gutter="0"/>
      <w:pgNumType w:start="1"/>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font>
  <w:font w:name="Wingdings">
    <w:panose1 w:val="05010000000000000000"/>
  </w:font>
  <w:font w:name="Consolas">
    <w:panose1 w:val="020B0606020202030204"/>
  </w:font>
  <w:font w:name="Liberation Serif">
    <w:panose1 w:val="02020603050405020304"/>
  </w:font>
  <w:font w:name="Bookman Old Style">
    <w:panose1 w:val="02060603050605020204"/>
  </w:font>
  <w:font w:name="GaramondNarrowC">
    <w:panose1 w:val="02000603000000000000"/>
  </w:font>
  <w:font w:name="Verdana">
    <w:panose1 w:val="020B0606030504020204"/>
  </w:font>
  <w:font w:name="MS Mincho">
    <w:panose1 w:val="020606060503050B0204"/>
  </w:font>
  <w:font w:name="Tahoma">
    <w:panose1 w:val="020B0606040504020204"/>
  </w:font>
  <w:font w:name="Courier New">
    <w:panose1 w:val="02070409020205020404"/>
  </w:font>
  <w:font w:name="Calibri">
    <w:panose1 w:val="020F0502020204030204"/>
  </w:font>
  <w:font w:name="Cambria">
    <w:panose1 w:val="02040503050406030204"/>
  </w:font>
  <w:font w:name="Arial Unicode MS">
    <w:panose1 w:val="020B0604020202020204"/>
  </w:font>
  <w:font w:name="Arial">
    <w:panose1 w:val="020B0604020202020204"/>
  </w:font>
  <w:font w:name="Consultant">
    <w:panose1 w:val="02000603000000000000"/>
  </w:font>
  <w:font w:name="Times New 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58"/>
      <w:tabs>
        <w:tab w:val="clear" w:pos="4677" w:leader="none"/>
      </w:tabs>
    </w:pPr>
    <w:r>
      <w:tab/>
    </w:r>
    <w:r>
      <w:fldChar w:fldCharType="begin"/>
    </w:r>
    <w:r>
      <w:instrText xml:space="preserve"> PAGE   \* MERGEFORMAT </w:instrText>
    </w:r>
    <w:r>
      <w:fldChar w:fldCharType="separate"/>
    </w:r>
    <w:r>
      <w:t xml:space="preserve">10</w:t>
    </w:r>
    <w:r>
      <w:fldChar w:fldCharType="end"/>
    </w:r>
    <w:r/>
  </w:p>
  <w:p>
    <w:pPr>
      <w:pStyle w:val="958"/>
    </w:pPr>
    <w:r/>
    <w:r/>
  </w:p>
  <w:p>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97"/>
      </w:pPr>
      <w:r>
        <w:rPr>
          <w:rStyle w:val="1015"/>
        </w:rPr>
        <w:footnoteRef/>
      </w:r>
      <w:r>
        <w:t xml:space="preserve"> в соответствии с частями 9, 10 статьи 4 Федерального закона № 223-ФЗ</w:t>
      </w:r>
      <w:r/>
    </w:p>
  </w:footnote>
  <w:footnote w:id="3">
    <w:p>
      <w:pPr>
        <w:pStyle w:val="997"/>
        <w:jc w:val="both"/>
        <w:rPr>
          <w:sz w:val="16"/>
          <w:szCs w:val="16"/>
        </w:rPr>
      </w:pPr>
      <w:r>
        <w:rPr>
          <w:rStyle w:val="1015"/>
          <w:sz w:val="16"/>
          <w:szCs w:val="16"/>
        </w:rPr>
        <w:footnoteRef/>
      </w:r>
      <w:r>
        <w:rPr>
          <w:sz w:val="16"/>
          <w:szCs w:val="16"/>
        </w:rPr>
        <w:t xml:space="preserve"> Ответственность за недостоверность информации и (или) документов, направленных в составе </w:t>
      </w:r>
      <w:r>
        <w:rPr>
          <w:sz w:val="16"/>
          <w:szCs w:val="16"/>
        </w:rPr>
        <w:t xml:space="preserve">заявки на участие в закупке,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r>
        <w:rPr>
          <w:sz w:val="16"/>
          <w:szCs w:val="16"/>
        </w:rPr>
      </w:r>
      <w:r>
        <w:rPr>
          <w:sz w:val="16"/>
          <w:szCs w:val="16"/>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
    <w:multiLevelType w:val="hybridMultilevel"/>
    <w:lvl w:ilvl="0">
      <w:start w:val="9"/>
      <w:numFmt w:val="decimal"/>
      <w:isLgl w:val="false"/>
      <w:suff w:val="tab"/>
      <w:lvlText w:val="%1."/>
      <w:lvlJc w:val="left"/>
      <w:pPr>
        <w:ind w:left="786" w:hanging="360"/>
      </w:pPr>
      <w:rPr>
        <w:rFonts w:hint="default"/>
      </w:rPr>
    </w:lvl>
    <w:lvl w:ilvl="1">
      <w:start w:val="2"/>
      <w:numFmt w:val="decimal"/>
      <w:isLgl/>
      <w:suff w:val="tab"/>
      <w:lvlText w:val="%1.%2."/>
      <w:lvlJc w:val="left"/>
      <w:pPr>
        <w:ind w:left="1320" w:hanging="360"/>
      </w:pPr>
      <w:rPr>
        <w:rFonts w:hint="default"/>
      </w:rPr>
    </w:lvl>
    <w:lvl w:ilvl="2">
      <w:start w:val="1"/>
      <w:numFmt w:val="decimal"/>
      <w:isLgl/>
      <w:suff w:val="tab"/>
      <w:lvlText w:val="%1.%2.%3."/>
      <w:lvlJc w:val="left"/>
      <w:pPr>
        <w:ind w:left="2214" w:hanging="720"/>
      </w:pPr>
      <w:rPr>
        <w:rFonts w:hint="default"/>
      </w:rPr>
    </w:lvl>
    <w:lvl w:ilvl="3">
      <w:start w:val="1"/>
      <w:numFmt w:val="decimal"/>
      <w:isLgl/>
      <w:suff w:val="tab"/>
      <w:lvlText w:val="%1.%2.%3.%4."/>
      <w:lvlJc w:val="left"/>
      <w:pPr>
        <w:ind w:left="2748" w:hanging="720"/>
      </w:pPr>
      <w:rPr>
        <w:rFonts w:hint="default"/>
      </w:rPr>
    </w:lvl>
    <w:lvl w:ilvl="4">
      <w:start w:val="1"/>
      <w:numFmt w:val="decimal"/>
      <w:isLgl/>
      <w:suff w:val="tab"/>
      <w:lvlText w:val="%1.%2.%3.%4.%5."/>
      <w:lvlJc w:val="left"/>
      <w:pPr>
        <w:ind w:left="3642" w:hanging="1080"/>
      </w:pPr>
      <w:rPr>
        <w:rFonts w:hint="default"/>
      </w:rPr>
    </w:lvl>
    <w:lvl w:ilvl="5">
      <w:start w:val="1"/>
      <w:numFmt w:val="decimal"/>
      <w:isLgl/>
      <w:suff w:val="tab"/>
      <w:lvlText w:val="%1.%2.%3.%4.%5.%6."/>
      <w:lvlJc w:val="left"/>
      <w:pPr>
        <w:ind w:left="4176" w:hanging="1080"/>
      </w:pPr>
      <w:rPr>
        <w:rFonts w:hint="default"/>
      </w:rPr>
    </w:lvl>
    <w:lvl w:ilvl="6">
      <w:start w:val="1"/>
      <w:numFmt w:val="decimal"/>
      <w:isLgl/>
      <w:suff w:val="tab"/>
      <w:lvlText w:val="%1.%2.%3.%4.%5.%6.%7."/>
      <w:lvlJc w:val="left"/>
      <w:pPr>
        <w:ind w:left="5070" w:hanging="1440"/>
      </w:pPr>
      <w:rPr>
        <w:rFonts w:hint="default"/>
      </w:rPr>
    </w:lvl>
    <w:lvl w:ilvl="7">
      <w:start w:val="1"/>
      <w:numFmt w:val="decimal"/>
      <w:isLgl/>
      <w:suff w:val="tab"/>
      <w:lvlText w:val="%1.%2.%3.%4.%5.%6.%7.%8."/>
      <w:lvlJc w:val="left"/>
      <w:pPr>
        <w:ind w:left="5604" w:hanging="1440"/>
      </w:pPr>
      <w:rPr>
        <w:rFonts w:hint="default"/>
      </w:rPr>
    </w:lvl>
    <w:lvl w:ilvl="8">
      <w:start w:val="1"/>
      <w:numFmt w:val="decimal"/>
      <w:isLgl/>
      <w:suff w:val="tab"/>
      <w:lvlText w:val="%1.%2.%3.%4.%5.%6.%7.%8.%9."/>
      <w:lvlJc w:val="left"/>
      <w:pPr>
        <w:ind w:left="6498" w:hanging="1800"/>
      </w:pPr>
      <w:rPr>
        <w:rFonts w:hint="default"/>
      </w:rPr>
    </w:lvl>
  </w:abstractNum>
  <w:abstractNum w:abstractNumId="3">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
    <w:multiLevelType w:val="hybridMultilevel"/>
    <w:lvl w:ilvl="0">
      <w:start w:val="1"/>
      <w:numFmt w:val="decimal"/>
      <w:isLgl w:val="false"/>
      <w:suff w:val="tab"/>
      <w:lvlText w:val="%1."/>
      <w:lvlJc w:val="left"/>
      <w:pPr>
        <w:ind w:left="792" w:hanging="432"/>
        <w:tabs>
          <w:tab w:val="num" w:pos="792" w:leader="none"/>
        </w:tabs>
      </w:pPr>
      <w:rPr>
        <w:b/>
        <w:i w:val="0"/>
        <w:sz w:val="28"/>
        <w:szCs w:val="28"/>
      </w:rPr>
    </w:lvl>
    <w:lvl w:ilvl="1">
      <w:start w:val="1"/>
      <w:numFmt w:val="decimal"/>
      <w:isLgl w:val="false"/>
      <w:suff w:val="tab"/>
      <w:lvlText w:val="%1.%2"/>
      <w:lvlJc w:val="left"/>
      <w:pPr>
        <w:ind w:left="1836" w:hanging="576"/>
        <w:tabs>
          <w:tab w:val="num" w:pos="1836" w:leader="none"/>
        </w:tabs>
      </w:pPr>
    </w:lvl>
    <w:lvl w:ilvl="2">
      <w:start w:val="1"/>
      <w:numFmt w:val="decimal"/>
      <w:pStyle w:val="990"/>
      <w:isLgl w:val="false"/>
      <w:suff w:val="tab"/>
      <w:lvlText w:val="%1.%2.%3"/>
      <w:lvlJc w:val="left"/>
      <w:pPr>
        <w:ind w:left="1080" w:firstLine="0"/>
        <w:tabs>
          <w:tab w:val="num" w:pos="1307" w:leader="none"/>
        </w:tabs>
      </w:pPr>
      <w:rPr>
        <w:b w:val="0"/>
        <w:sz w:val="28"/>
        <w:szCs w:val="28"/>
        <w:lang w:val="ru-RU" w:eastAsia="ru-RU"/>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1"/>
      <w:numFmt w:val="decimal"/>
      <w:isLgl w:val="false"/>
      <w:suff w:val="tab"/>
      <w:lvlText w:val="%1."/>
      <w:lvlJc w:val="left"/>
      <w:pPr>
        <w:ind w:left="-207" w:hanging="360"/>
      </w:pPr>
      <w:rPr>
        <w:rFonts w:hint="default"/>
      </w:rPr>
    </w:lvl>
    <w:lvl w:ilvl="1">
      <w:start w:val="1"/>
      <w:numFmt w:val="lowerLetter"/>
      <w:isLgl w:val="false"/>
      <w:suff w:val="tab"/>
      <w:lvlText w:val="%2."/>
      <w:lvlJc w:val="left"/>
      <w:pPr>
        <w:ind w:left="513" w:hanging="360"/>
      </w:pPr>
    </w:lvl>
    <w:lvl w:ilvl="2">
      <w:start w:val="1"/>
      <w:numFmt w:val="lowerRoman"/>
      <w:isLgl w:val="false"/>
      <w:suff w:val="tab"/>
      <w:lvlText w:val="%3."/>
      <w:lvlJc w:val="right"/>
      <w:pPr>
        <w:ind w:left="1233" w:hanging="180"/>
      </w:pPr>
    </w:lvl>
    <w:lvl w:ilvl="3">
      <w:start w:val="1"/>
      <w:numFmt w:val="decimal"/>
      <w:isLgl w:val="false"/>
      <w:suff w:val="tab"/>
      <w:lvlText w:val="%4."/>
      <w:lvlJc w:val="left"/>
      <w:pPr>
        <w:ind w:left="1953" w:hanging="360"/>
      </w:pPr>
    </w:lvl>
    <w:lvl w:ilvl="4">
      <w:start w:val="1"/>
      <w:numFmt w:val="lowerLetter"/>
      <w:isLgl w:val="false"/>
      <w:suff w:val="tab"/>
      <w:lvlText w:val="%5."/>
      <w:lvlJc w:val="left"/>
      <w:pPr>
        <w:ind w:left="2673" w:hanging="360"/>
      </w:pPr>
    </w:lvl>
    <w:lvl w:ilvl="5">
      <w:start w:val="1"/>
      <w:numFmt w:val="lowerRoman"/>
      <w:isLgl w:val="false"/>
      <w:suff w:val="tab"/>
      <w:lvlText w:val="%6."/>
      <w:lvlJc w:val="right"/>
      <w:pPr>
        <w:ind w:left="3393" w:hanging="180"/>
      </w:pPr>
    </w:lvl>
    <w:lvl w:ilvl="6">
      <w:start w:val="1"/>
      <w:numFmt w:val="decimal"/>
      <w:isLgl w:val="false"/>
      <w:suff w:val="tab"/>
      <w:lvlText w:val="%7."/>
      <w:lvlJc w:val="left"/>
      <w:pPr>
        <w:ind w:left="4113" w:hanging="360"/>
      </w:pPr>
    </w:lvl>
    <w:lvl w:ilvl="7">
      <w:start w:val="1"/>
      <w:numFmt w:val="lowerLetter"/>
      <w:isLgl w:val="false"/>
      <w:suff w:val="tab"/>
      <w:lvlText w:val="%8."/>
      <w:lvlJc w:val="left"/>
      <w:pPr>
        <w:ind w:left="4833" w:hanging="360"/>
      </w:pPr>
    </w:lvl>
    <w:lvl w:ilvl="8">
      <w:start w:val="1"/>
      <w:numFmt w:val="lowerRoman"/>
      <w:isLgl w:val="false"/>
      <w:suff w:val="tab"/>
      <w:lvlText w:val="%9."/>
      <w:lvlJc w:val="right"/>
      <w:pPr>
        <w:ind w:left="5553" w:hanging="180"/>
      </w:pPr>
    </w:lvl>
  </w:abstractNum>
  <w:abstractNum w:abstractNumId="7">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
    <w:multiLevelType w:val="hybridMultilevel"/>
    <w:lvl w:ilvl="0">
      <w:start w:val="6"/>
      <w:numFmt w:val="decimal"/>
      <w:isLgl w:val="false"/>
      <w:suff w:val="tab"/>
      <w:lvlText w:val="%1."/>
      <w:lvlJc w:val="left"/>
      <w:pPr>
        <w:ind w:left="2640" w:hanging="360"/>
      </w:pPr>
      <w:rPr>
        <w:rFonts w:hint="default"/>
      </w:rPr>
    </w:lvl>
    <w:lvl w:ilvl="1">
      <w:start w:val="1"/>
      <w:numFmt w:val="lowerLetter"/>
      <w:isLgl w:val="false"/>
      <w:suff w:val="tab"/>
      <w:lvlText w:val="%2."/>
      <w:lvlJc w:val="left"/>
      <w:pPr>
        <w:ind w:left="3360" w:hanging="360"/>
      </w:pPr>
    </w:lvl>
    <w:lvl w:ilvl="2">
      <w:start w:val="1"/>
      <w:numFmt w:val="lowerRoman"/>
      <w:isLgl w:val="false"/>
      <w:suff w:val="tab"/>
      <w:lvlText w:val="%3."/>
      <w:lvlJc w:val="right"/>
      <w:pPr>
        <w:ind w:left="4080" w:hanging="180"/>
      </w:pPr>
    </w:lvl>
    <w:lvl w:ilvl="3">
      <w:start w:val="1"/>
      <w:numFmt w:val="decimal"/>
      <w:isLgl w:val="false"/>
      <w:suff w:val="tab"/>
      <w:lvlText w:val="%4."/>
      <w:lvlJc w:val="left"/>
      <w:pPr>
        <w:ind w:left="4800" w:hanging="360"/>
      </w:pPr>
    </w:lvl>
    <w:lvl w:ilvl="4">
      <w:start w:val="1"/>
      <w:numFmt w:val="lowerLetter"/>
      <w:isLgl w:val="false"/>
      <w:suff w:val="tab"/>
      <w:lvlText w:val="%5."/>
      <w:lvlJc w:val="left"/>
      <w:pPr>
        <w:ind w:left="5520" w:hanging="360"/>
      </w:pPr>
    </w:lvl>
    <w:lvl w:ilvl="5">
      <w:start w:val="1"/>
      <w:numFmt w:val="lowerRoman"/>
      <w:isLgl w:val="false"/>
      <w:suff w:val="tab"/>
      <w:lvlText w:val="%6."/>
      <w:lvlJc w:val="right"/>
      <w:pPr>
        <w:ind w:left="6240" w:hanging="180"/>
      </w:pPr>
    </w:lvl>
    <w:lvl w:ilvl="6">
      <w:start w:val="1"/>
      <w:numFmt w:val="decimal"/>
      <w:isLgl w:val="false"/>
      <w:suff w:val="tab"/>
      <w:lvlText w:val="%7."/>
      <w:lvlJc w:val="left"/>
      <w:pPr>
        <w:ind w:left="6960" w:hanging="360"/>
      </w:pPr>
    </w:lvl>
    <w:lvl w:ilvl="7">
      <w:start w:val="1"/>
      <w:numFmt w:val="lowerLetter"/>
      <w:isLgl w:val="false"/>
      <w:suff w:val="tab"/>
      <w:lvlText w:val="%8."/>
      <w:lvlJc w:val="left"/>
      <w:pPr>
        <w:ind w:left="7680" w:hanging="360"/>
      </w:pPr>
    </w:lvl>
    <w:lvl w:ilvl="8">
      <w:start w:val="1"/>
      <w:numFmt w:val="lowerRoman"/>
      <w:isLgl w:val="false"/>
      <w:suff w:val="tab"/>
      <w:lvlText w:val="%9."/>
      <w:lvlJc w:val="right"/>
      <w:pPr>
        <w:ind w:left="8400" w:hanging="180"/>
      </w:pPr>
    </w:lvl>
  </w:abstractNum>
  <w:abstractNum w:abstractNumId="9">
    <w:multiLevelType w:val="hybridMultilevel"/>
    <w:lvl w:ilvl="0">
      <w:start w:val="1"/>
      <w:numFmt w:val="decimal"/>
      <w:isLgl w:val="false"/>
      <w:suff w:val="tab"/>
      <w:lvlText w:val="%1."/>
      <w:lvlJc w:val="left"/>
      <w:pPr>
        <w:ind w:left="3763" w:hanging="360"/>
      </w:pPr>
      <w:rPr>
        <w:b/>
      </w:rPr>
    </w:lvl>
    <w:lvl w:ilvl="1">
      <w:start w:val="1"/>
      <w:numFmt w:val="decimal"/>
      <w:isLgl w:val="false"/>
      <w:suff w:val="tab"/>
      <w:lvlText w:val="%1.%2."/>
      <w:lvlJc w:val="left"/>
      <w:pPr>
        <w:ind w:left="7947" w:hanging="432"/>
      </w:pPr>
      <w:rPr>
        <w:i w:val="0"/>
        <w:sz w:val="24"/>
      </w:rPr>
    </w:lvl>
    <w:lvl w:ilvl="2">
      <w:start w:val="1"/>
      <w:numFmt w:val="decimal"/>
      <w:isLgl w:val="false"/>
      <w:suff w:val="tab"/>
      <w:lvlText w:val="%1.%2.%3."/>
      <w:lvlJc w:val="left"/>
      <w:pPr>
        <w:ind w:left="4758" w:hanging="504"/>
      </w:pPr>
      <w:rPr>
        <w:i w:val="0"/>
        <w:sz w:val="24"/>
      </w:rPr>
    </w:lvl>
    <w:lvl w:ilvl="3">
      <w:start w:val="1"/>
      <w:numFmt w:val="decimal"/>
      <w:isLgl w:val="false"/>
      <w:suff w:val="tab"/>
      <w:lvlText w:val="%1.%2.%3.%4."/>
      <w:lvlJc w:val="left"/>
      <w:pPr>
        <w:ind w:left="5469" w:hanging="648"/>
      </w:pPr>
    </w:lvl>
    <w:lvl w:ilvl="4">
      <w:start w:val="1"/>
      <w:numFmt w:val="decimal"/>
      <w:isLgl w:val="false"/>
      <w:suff w:val="tab"/>
      <w:lvlText w:val="%1.%2.%3.%4.%5."/>
      <w:lvlJc w:val="left"/>
      <w:pPr>
        <w:ind w:left="5635" w:hanging="792"/>
      </w:pPr>
    </w:lvl>
    <w:lvl w:ilvl="5">
      <w:start w:val="1"/>
      <w:numFmt w:val="decimal"/>
      <w:isLgl w:val="false"/>
      <w:suff w:val="tab"/>
      <w:lvlText w:val="%1.%2.%3.%4.%5.%6."/>
      <w:lvlJc w:val="left"/>
      <w:pPr>
        <w:ind w:left="6139" w:hanging="936"/>
      </w:pPr>
    </w:lvl>
    <w:lvl w:ilvl="6">
      <w:start w:val="1"/>
      <w:numFmt w:val="decimal"/>
      <w:isLgl w:val="false"/>
      <w:suff w:val="tab"/>
      <w:lvlText w:val="%1.%2.%3.%4.%5.%6.%7."/>
      <w:lvlJc w:val="left"/>
      <w:pPr>
        <w:ind w:left="6643" w:hanging="1080"/>
      </w:pPr>
    </w:lvl>
    <w:lvl w:ilvl="7">
      <w:start w:val="1"/>
      <w:numFmt w:val="decimal"/>
      <w:isLgl w:val="false"/>
      <w:suff w:val="tab"/>
      <w:lvlText w:val="%1.%2.%3.%4.%5.%6.%7.%8."/>
      <w:lvlJc w:val="left"/>
      <w:pPr>
        <w:ind w:left="7147" w:hanging="1224"/>
      </w:pPr>
    </w:lvl>
    <w:lvl w:ilvl="8">
      <w:start w:val="1"/>
      <w:numFmt w:val="decimal"/>
      <w:isLgl w:val="false"/>
      <w:suff w:val="tab"/>
      <w:lvlText w:val="%1.%2.%3.%4.%5.%6.%7.%8.%9."/>
      <w:lvlJc w:val="left"/>
      <w:pPr>
        <w:ind w:left="7723" w:hanging="1440"/>
      </w:pPr>
    </w:lvl>
  </w:abstractNum>
  <w:abstractNum w:abstractNumId="10">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3"/>
      <w:numFmt w:val="decimal"/>
      <w:isLgl w:val="false"/>
      <w:suff w:val="tab"/>
      <w:lvlText w:val="%1."/>
      <w:lvlJc w:val="left"/>
      <w:pPr>
        <w:ind w:left="645" w:hanging="645"/>
      </w:pPr>
      <w:rPr>
        <w:rFonts w:hint="default"/>
      </w:rPr>
    </w:lvl>
    <w:lvl w:ilvl="1">
      <w:start w:val="1"/>
      <w:numFmt w:val="decimal"/>
      <w:isLgl w:val="false"/>
      <w:suff w:val="tab"/>
      <w:lvlText w:val="%1.%2."/>
      <w:lvlJc w:val="left"/>
      <w:pPr>
        <w:ind w:left="1000" w:hanging="645"/>
      </w:pPr>
      <w:rPr>
        <w:rFonts w:hint="default"/>
      </w:rPr>
    </w:lvl>
    <w:lvl w:ilvl="2">
      <w:start w:val="3"/>
      <w:numFmt w:val="decimal"/>
      <w:isLgl w:val="false"/>
      <w:suff w:val="tab"/>
      <w:lvlText w:val="%1.%2.%3."/>
      <w:lvlJc w:val="left"/>
      <w:pPr>
        <w:ind w:left="1430" w:hanging="720"/>
      </w:pPr>
      <w:rPr>
        <w:rFonts w:hint="default"/>
      </w:rPr>
    </w:lvl>
    <w:lvl w:ilvl="3">
      <w:start w:val="1"/>
      <w:numFmt w:val="decimal"/>
      <w:isLgl w:val="false"/>
      <w:suff w:val="tab"/>
      <w:lvlText w:val="%1.%2.%3.%4."/>
      <w:lvlJc w:val="left"/>
      <w:pPr>
        <w:ind w:left="1785" w:hanging="720"/>
      </w:pPr>
      <w:rPr>
        <w:rFonts w:hint="default"/>
      </w:rPr>
    </w:lvl>
    <w:lvl w:ilvl="4">
      <w:start w:val="1"/>
      <w:numFmt w:val="decimal"/>
      <w:isLgl w:val="false"/>
      <w:suff w:val="tab"/>
      <w:lvlText w:val="%1.%2.%3.%4.%5."/>
      <w:lvlJc w:val="left"/>
      <w:pPr>
        <w:ind w:left="2500" w:hanging="1080"/>
      </w:pPr>
      <w:rPr>
        <w:rFonts w:hint="default"/>
      </w:rPr>
    </w:lvl>
    <w:lvl w:ilvl="5">
      <w:start w:val="1"/>
      <w:numFmt w:val="decimal"/>
      <w:isLgl w:val="false"/>
      <w:suff w:val="tab"/>
      <w:lvlText w:val="%1.%2.%3.%4.%5.%6."/>
      <w:lvlJc w:val="left"/>
      <w:pPr>
        <w:ind w:left="2855" w:hanging="1080"/>
      </w:pPr>
      <w:rPr>
        <w:rFonts w:hint="default"/>
      </w:rPr>
    </w:lvl>
    <w:lvl w:ilvl="6">
      <w:start w:val="1"/>
      <w:numFmt w:val="decimal"/>
      <w:isLgl w:val="false"/>
      <w:suff w:val="tab"/>
      <w:lvlText w:val="%1.%2.%3.%4.%5.%6.%7."/>
      <w:lvlJc w:val="left"/>
      <w:pPr>
        <w:ind w:left="3570" w:hanging="1440"/>
      </w:pPr>
      <w:rPr>
        <w:rFonts w:hint="default"/>
      </w:rPr>
    </w:lvl>
    <w:lvl w:ilvl="7">
      <w:start w:val="1"/>
      <w:numFmt w:val="decimal"/>
      <w:isLgl w:val="false"/>
      <w:suff w:val="tab"/>
      <w:lvlText w:val="%1.%2.%3.%4.%5.%6.%7.%8."/>
      <w:lvlJc w:val="left"/>
      <w:pPr>
        <w:ind w:left="3925" w:hanging="1440"/>
      </w:pPr>
      <w:rPr>
        <w:rFonts w:hint="default"/>
      </w:rPr>
    </w:lvl>
    <w:lvl w:ilvl="8">
      <w:start w:val="1"/>
      <w:numFmt w:val="decimal"/>
      <w:isLgl w:val="false"/>
      <w:suff w:val="tab"/>
      <w:lvlText w:val="%1.%2.%3.%4.%5.%6.%7.%8.%9."/>
      <w:lvlJc w:val="left"/>
      <w:pPr>
        <w:ind w:left="4640" w:hanging="1800"/>
      </w:pPr>
      <w:rPr>
        <w:rFonts w:hint="default"/>
      </w:rPr>
    </w:lvl>
  </w:abstractNum>
  <w:abstractNum w:abstractNumId="13">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4">
    <w:multiLevelType w:val="hybridMultilevel"/>
    <w:lvl w:ilvl="0">
      <w:start w:val="1"/>
      <w:numFmt w:val="decimal"/>
      <w:isLgl w:val="false"/>
      <w:suff w:val="tab"/>
      <w:lvlText w:val="%1)"/>
      <w:lvlJc w:val="left"/>
      <w:pPr>
        <w:ind w:left="1417" w:hanging="283"/>
      </w:pPr>
      <w:rPr>
        <w:rFonts w:hint="default"/>
      </w:rPr>
    </w:lvl>
    <w:lvl w:ilvl="1">
      <w:start w:val="1"/>
      <w:numFmt w:val="lowerLetter"/>
      <w:isLgl w:val="false"/>
      <w:suff w:val="tab"/>
      <w:lvlText w:val="%2."/>
      <w:lvlJc w:val="left"/>
      <w:pPr>
        <w:ind w:left="3198" w:hanging="360"/>
      </w:pPr>
    </w:lvl>
    <w:lvl w:ilvl="2">
      <w:start w:val="1"/>
      <w:numFmt w:val="lowerRoman"/>
      <w:isLgl w:val="false"/>
      <w:suff w:val="tab"/>
      <w:lvlText w:val="%3."/>
      <w:lvlJc w:val="right"/>
      <w:pPr>
        <w:ind w:left="3918" w:hanging="180"/>
      </w:pPr>
    </w:lvl>
    <w:lvl w:ilvl="3">
      <w:start w:val="1"/>
      <w:numFmt w:val="decimal"/>
      <w:isLgl w:val="false"/>
      <w:suff w:val="tab"/>
      <w:lvlText w:val="%4."/>
      <w:lvlJc w:val="left"/>
      <w:pPr>
        <w:ind w:left="4638" w:hanging="360"/>
      </w:pPr>
    </w:lvl>
    <w:lvl w:ilvl="4">
      <w:start w:val="1"/>
      <w:numFmt w:val="lowerLetter"/>
      <w:isLgl w:val="false"/>
      <w:suff w:val="tab"/>
      <w:lvlText w:val="%5."/>
      <w:lvlJc w:val="left"/>
      <w:pPr>
        <w:ind w:left="5358" w:hanging="360"/>
      </w:pPr>
    </w:lvl>
    <w:lvl w:ilvl="5">
      <w:start w:val="1"/>
      <w:numFmt w:val="lowerRoman"/>
      <w:isLgl w:val="false"/>
      <w:suff w:val="tab"/>
      <w:lvlText w:val="%6."/>
      <w:lvlJc w:val="right"/>
      <w:pPr>
        <w:ind w:left="6078" w:hanging="180"/>
      </w:pPr>
    </w:lvl>
    <w:lvl w:ilvl="6">
      <w:start w:val="1"/>
      <w:numFmt w:val="decimal"/>
      <w:isLgl w:val="false"/>
      <w:suff w:val="tab"/>
      <w:lvlText w:val="%7."/>
      <w:lvlJc w:val="left"/>
      <w:pPr>
        <w:ind w:left="6798" w:hanging="360"/>
      </w:pPr>
    </w:lvl>
    <w:lvl w:ilvl="7">
      <w:start w:val="1"/>
      <w:numFmt w:val="lowerLetter"/>
      <w:isLgl w:val="false"/>
      <w:suff w:val="tab"/>
      <w:lvlText w:val="%8."/>
      <w:lvlJc w:val="left"/>
      <w:pPr>
        <w:ind w:left="7518" w:hanging="360"/>
      </w:pPr>
    </w:lvl>
    <w:lvl w:ilvl="8">
      <w:start w:val="1"/>
      <w:numFmt w:val="lowerRoman"/>
      <w:isLgl w:val="false"/>
      <w:suff w:val="tab"/>
      <w:lvlText w:val="%9."/>
      <w:lvlJc w:val="right"/>
      <w:pPr>
        <w:ind w:left="8238" w:hanging="180"/>
      </w:pPr>
    </w:lvl>
  </w:abstractNum>
  <w:abstractNum w:abstractNumId="15">
    <w:multiLevelType w:val="hybridMultilevel"/>
    <w:styleLink w:val="1019"/>
    <w:lvl w:ilvl="0">
      <w:start w:val="1"/>
      <w:numFmt w:val="decimal"/>
      <w:pStyle w:val="1019"/>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224" w:leader="none"/>
        </w:tabs>
      </w:pPr>
    </w:lvl>
    <w:lvl w:ilvl="3">
      <w:start w:val="1"/>
      <w:numFmt w:val="decimal"/>
      <w:isLgl w:val="false"/>
      <w:suff w:val="tab"/>
      <w:lvlText w:val="%1.%2.%3.%4."/>
      <w:lvlJc w:val="left"/>
      <w:pPr>
        <w:ind w:left="1728" w:hanging="648"/>
        <w:tabs>
          <w:tab w:val="num" w:pos="1728" w:leader="none"/>
        </w:tabs>
      </w:pPr>
    </w:lvl>
    <w:lvl w:ilvl="4">
      <w:start w:val="1"/>
      <w:numFmt w:val="decimal"/>
      <w:isLgl w:val="false"/>
      <w:suff w:val="tab"/>
      <w:lvlText w:val="%1.%2.%3.%4.%5."/>
      <w:lvlJc w:val="left"/>
      <w:pPr>
        <w:ind w:left="2232" w:hanging="792"/>
        <w:tabs>
          <w:tab w:val="num" w:pos="2232" w:leader="none"/>
        </w:tabs>
      </w:pPr>
    </w:lvl>
    <w:lvl w:ilvl="5">
      <w:start w:val="1"/>
      <w:numFmt w:val="decimal"/>
      <w:isLgl w:val="false"/>
      <w:suff w:val="tab"/>
      <w:lvlText w:val="%1.%2.%3.%4.%5.%6."/>
      <w:lvlJc w:val="left"/>
      <w:pPr>
        <w:ind w:left="2736" w:hanging="936"/>
        <w:tabs>
          <w:tab w:val="num" w:pos="2736" w:leader="none"/>
        </w:tabs>
      </w:pPr>
    </w:lvl>
    <w:lvl w:ilvl="6">
      <w:start w:val="1"/>
      <w:numFmt w:val="decimal"/>
      <w:isLgl w:val="false"/>
      <w:suff w:val="tab"/>
      <w:lvlText w:val="%1.%2.%3.%4.%5.%6.%7."/>
      <w:lvlJc w:val="left"/>
      <w:pPr>
        <w:ind w:left="3240" w:hanging="1080"/>
        <w:tabs>
          <w:tab w:val="num" w:pos="3240" w:leader="none"/>
        </w:tabs>
      </w:pPr>
    </w:lvl>
    <w:lvl w:ilvl="7">
      <w:start w:val="1"/>
      <w:numFmt w:val="decimal"/>
      <w:isLgl w:val="false"/>
      <w:suff w:val="tab"/>
      <w:lvlText w:val="%1.%2.%3.%4.%5.%6.%7.%8."/>
      <w:lvlJc w:val="left"/>
      <w:pPr>
        <w:ind w:left="3744" w:hanging="1224"/>
        <w:tabs>
          <w:tab w:val="num" w:pos="3744" w:leader="none"/>
        </w:tabs>
      </w:pPr>
    </w:lvl>
    <w:lvl w:ilvl="8">
      <w:start w:val="1"/>
      <w:numFmt w:val="decimal"/>
      <w:isLgl w:val="false"/>
      <w:suff w:val="tab"/>
      <w:lvlText w:val="%1.%2.%3.%4.%5.%6.%7.%8.%9."/>
      <w:lvlJc w:val="left"/>
      <w:pPr>
        <w:ind w:left="4320" w:hanging="1440"/>
        <w:tabs>
          <w:tab w:val="num" w:pos="4320" w:leader="none"/>
        </w:tabs>
      </w:pPr>
    </w:lvl>
  </w:abstractNum>
  <w:abstractNum w:abstractNumId="16">
    <w:multiLevelType w:val="hybridMultilevel"/>
    <w:lvl w:ilvl="0">
      <w:start w:val="1"/>
      <w:numFmt w:val="decimal"/>
      <w:isLgl w:val="false"/>
      <w:suff w:val="tab"/>
      <w:lvlText w:val="%1."/>
      <w:lvlJc w:val="left"/>
      <w:pPr>
        <w:ind w:left="930" w:hanging="360"/>
        <w:tabs>
          <w:tab w:val="num" w:pos="930" w:leader="none"/>
        </w:tabs>
      </w:pPr>
      <w:rPr>
        <w:rFonts w:hint="default"/>
      </w:rPr>
    </w:lvl>
    <w:lvl w:ilvl="1">
      <w:start w:val="1"/>
      <w:numFmt w:val="lowerLetter"/>
      <w:isLgl w:val="false"/>
      <w:suff w:val="tab"/>
      <w:lvlText w:val="%2."/>
      <w:lvlJc w:val="left"/>
      <w:pPr>
        <w:ind w:left="1647" w:hanging="360"/>
        <w:tabs>
          <w:tab w:val="num" w:pos="1647" w:leader="none"/>
        </w:tabs>
      </w:pPr>
    </w:lvl>
    <w:lvl w:ilvl="2">
      <w:start w:val="1"/>
      <w:numFmt w:val="lowerRoman"/>
      <w:isLgl w:val="false"/>
      <w:suff w:val="tab"/>
      <w:lvlText w:val="%3."/>
      <w:lvlJc w:val="right"/>
      <w:pPr>
        <w:ind w:left="2367" w:hanging="180"/>
        <w:tabs>
          <w:tab w:val="num" w:pos="2367" w:leader="none"/>
        </w:tabs>
      </w:pPr>
    </w:lvl>
    <w:lvl w:ilvl="3">
      <w:start w:val="1"/>
      <w:numFmt w:val="decimal"/>
      <w:isLgl w:val="false"/>
      <w:suff w:val="tab"/>
      <w:lvlText w:val="%4."/>
      <w:lvlJc w:val="left"/>
      <w:pPr>
        <w:ind w:left="3087" w:hanging="360"/>
        <w:tabs>
          <w:tab w:val="num" w:pos="3087" w:leader="none"/>
        </w:tabs>
      </w:pPr>
    </w:lvl>
    <w:lvl w:ilvl="4">
      <w:start w:val="1"/>
      <w:numFmt w:val="lowerLetter"/>
      <w:isLgl w:val="false"/>
      <w:suff w:val="tab"/>
      <w:lvlText w:val="%5."/>
      <w:lvlJc w:val="left"/>
      <w:pPr>
        <w:ind w:left="3807" w:hanging="360"/>
        <w:tabs>
          <w:tab w:val="num" w:pos="3807" w:leader="none"/>
        </w:tabs>
      </w:pPr>
    </w:lvl>
    <w:lvl w:ilvl="5">
      <w:start w:val="1"/>
      <w:numFmt w:val="lowerRoman"/>
      <w:isLgl w:val="false"/>
      <w:suff w:val="tab"/>
      <w:lvlText w:val="%6."/>
      <w:lvlJc w:val="right"/>
      <w:pPr>
        <w:ind w:left="4527" w:hanging="180"/>
        <w:tabs>
          <w:tab w:val="num" w:pos="4527" w:leader="none"/>
        </w:tabs>
      </w:pPr>
    </w:lvl>
    <w:lvl w:ilvl="6">
      <w:start w:val="1"/>
      <w:numFmt w:val="decimal"/>
      <w:isLgl w:val="false"/>
      <w:suff w:val="tab"/>
      <w:lvlText w:val="%7."/>
      <w:lvlJc w:val="left"/>
      <w:pPr>
        <w:ind w:left="5247" w:hanging="360"/>
        <w:tabs>
          <w:tab w:val="num" w:pos="5247" w:leader="none"/>
        </w:tabs>
      </w:pPr>
    </w:lvl>
    <w:lvl w:ilvl="7">
      <w:start w:val="1"/>
      <w:numFmt w:val="lowerLetter"/>
      <w:isLgl w:val="false"/>
      <w:suff w:val="tab"/>
      <w:lvlText w:val="%8."/>
      <w:lvlJc w:val="left"/>
      <w:pPr>
        <w:ind w:left="5967" w:hanging="360"/>
        <w:tabs>
          <w:tab w:val="num" w:pos="5967" w:leader="none"/>
        </w:tabs>
      </w:pPr>
    </w:lvl>
    <w:lvl w:ilvl="8">
      <w:start w:val="1"/>
      <w:numFmt w:val="lowerRoman"/>
      <w:isLgl w:val="false"/>
      <w:suff w:val="tab"/>
      <w:lvlText w:val="%9."/>
      <w:lvlJc w:val="right"/>
      <w:pPr>
        <w:ind w:left="6687" w:hanging="180"/>
        <w:tabs>
          <w:tab w:val="num" w:pos="6687" w:leader="none"/>
        </w:tabs>
      </w:pPr>
    </w:lvl>
  </w:abstractNum>
  <w:abstractNum w:abstractNumId="17">
    <w:multiLevelType w:val="hybridMultilevel"/>
    <w:lvl w:ilvl="0">
      <w:start w:val="2"/>
      <w:numFmt w:val="decimal"/>
      <w:isLgl w:val="false"/>
      <w:suff w:val="tab"/>
      <w:lvlText w:val="%1."/>
      <w:lvlJc w:val="left"/>
      <w:pPr>
        <w:ind w:left="360" w:hanging="360"/>
      </w:pPr>
      <w:rPr>
        <w:rFonts w:hint="default"/>
        <w:b/>
      </w:rPr>
    </w:lvl>
    <w:lvl w:ilvl="1">
      <w:start w:val="1"/>
      <w:numFmt w:val="decimal"/>
      <w:isLgl w:val="false"/>
      <w:suff w:val="tab"/>
      <w:lvlText w:val="%1.%2."/>
      <w:lvlJc w:val="left"/>
      <w:pPr>
        <w:ind w:left="1440" w:hanging="360"/>
      </w:pPr>
      <w:rPr>
        <w:rFonts w:hint="default"/>
        <w:b/>
      </w:rPr>
    </w:lvl>
    <w:lvl w:ilvl="2">
      <w:start w:val="1"/>
      <w:numFmt w:val="decimal"/>
      <w:isLgl w:val="false"/>
      <w:suff w:val="tab"/>
      <w:lvlText w:val="%1.%2.%3."/>
      <w:lvlJc w:val="left"/>
      <w:pPr>
        <w:ind w:left="2880" w:hanging="720"/>
      </w:pPr>
      <w:rPr>
        <w:rFonts w:hint="default"/>
        <w:b/>
      </w:rPr>
    </w:lvl>
    <w:lvl w:ilvl="3">
      <w:start w:val="1"/>
      <w:numFmt w:val="decimal"/>
      <w:isLgl w:val="false"/>
      <w:suff w:val="tab"/>
      <w:lvlText w:val="%1.%2.%3.%4."/>
      <w:lvlJc w:val="left"/>
      <w:pPr>
        <w:ind w:left="3960" w:hanging="720"/>
      </w:pPr>
      <w:rPr>
        <w:rFonts w:hint="default"/>
        <w:b/>
      </w:rPr>
    </w:lvl>
    <w:lvl w:ilvl="4">
      <w:start w:val="1"/>
      <w:numFmt w:val="decimal"/>
      <w:isLgl w:val="false"/>
      <w:suff w:val="tab"/>
      <w:lvlText w:val="%1.%2.%3.%4.%5."/>
      <w:lvlJc w:val="left"/>
      <w:pPr>
        <w:ind w:left="5400" w:hanging="1080"/>
      </w:pPr>
      <w:rPr>
        <w:rFonts w:hint="default"/>
        <w:b/>
      </w:rPr>
    </w:lvl>
    <w:lvl w:ilvl="5">
      <w:start w:val="1"/>
      <w:numFmt w:val="decimal"/>
      <w:isLgl w:val="false"/>
      <w:suff w:val="tab"/>
      <w:lvlText w:val="%1.%2.%3.%4.%5.%6."/>
      <w:lvlJc w:val="left"/>
      <w:pPr>
        <w:ind w:left="6480" w:hanging="1080"/>
      </w:pPr>
      <w:rPr>
        <w:rFonts w:hint="default"/>
        <w:b/>
      </w:rPr>
    </w:lvl>
    <w:lvl w:ilvl="6">
      <w:start w:val="1"/>
      <w:numFmt w:val="decimal"/>
      <w:isLgl w:val="false"/>
      <w:suff w:val="tab"/>
      <w:lvlText w:val="%1.%2.%3.%4.%5.%6.%7."/>
      <w:lvlJc w:val="left"/>
      <w:pPr>
        <w:ind w:left="7920" w:hanging="1440"/>
      </w:pPr>
      <w:rPr>
        <w:rFonts w:hint="default"/>
        <w:b/>
      </w:rPr>
    </w:lvl>
    <w:lvl w:ilvl="7">
      <w:start w:val="1"/>
      <w:numFmt w:val="decimal"/>
      <w:isLgl w:val="false"/>
      <w:suff w:val="tab"/>
      <w:lvlText w:val="%1.%2.%3.%4.%5.%6.%7.%8."/>
      <w:lvlJc w:val="left"/>
      <w:pPr>
        <w:ind w:left="9000" w:hanging="1440"/>
      </w:pPr>
      <w:rPr>
        <w:rFonts w:hint="default"/>
        <w:b/>
      </w:rPr>
    </w:lvl>
    <w:lvl w:ilvl="8">
      <w:start w:val="1"/>
      <w:numFmt w:val="decimal"/>
      <w:isLgl w:val="false"/>
      <w:suff w:val="tab"/>
      <w:lvlText w:val="%1.%2.%3.%4.%5.%6.%7.%8.%9."/>
      <w:lvlJc w:val="left"/>
      <w:pPr>
        <w:ind w:left="10440" w:hanging="1800"/>
      </w:pPr>
      <w:rPr>
        <w:rFonts w:hint="default"/>
        <w:b/>
      </w:rPr>
    </w:lvl>
  </w:abstractNum>
  <w:abstractNum w:abstractNumId="18">
    <w:multiLevelType w:val="hybridMultilevel"/>
    <w:lvl w:ilvl="0">
      <w:start w:val="6"/>
      <w:numFmt w:val="decimal"/>
      <w:isLgl w:val="false"/>
      <w:suff w:val="tab"/>
      <w:lvlText w:val="%1."/>
      <w:lvlJc w:val="left"/>
      <w:pPr>
        <w:ind w:left="720" w:hanging="360"/>
      </w:pPr>
    </w:lvl>
    <w:lvl w:ilvl="1">
      <w:start w:val="2"/>
      <w:numFmt w:val="decimal"/>
      <w:isLgl w:val="false"/>
      <w:suff w:val="tab"/>
      <w:lvlText w:val="%1.%2."/>
      <w:lvlJc w:val="left"/>
      <w:pPr>
        <w:ind w:left="1080" w:hanging="360"/>
      </w:pPr>
    </w:lvl>
    <w:lvl w:ilvl="2">
      <w:start w:val="1"/>
      <w:numFmt w:val="decimal"/>
      <w:isLgl w:val="false"/>
      <w:suff w:val="tab"/>
      <w:lvlText w:val="%1.%2.%3."/>
      <w:lvlJc w:val="left"/>
      <w:pPr>
        <w:ind w:left="1440" w:hanging="360"/>
      </w:pPr>
    </w:lvl>
    <w:lvl w:ilvl="3">
      <w:start w:val="1"/>
      <w:numFmt w:val="decimal"/>
      <w:isLgl w:val="false"/>
      <w:suff w:val="tab"/>
      <w:lvlText w:val="%1.%2.%3.%4."/>
      <w:lvlJc w:val="left"/>
      <w:pPr>
        <w:ind w:left="1800" w:hanging="360"/>
      </w:pPr>
    </w:lvl>
    <w:lvl w:ilvl="4">
      <w:start w:val="1"/>
      <w:numFmt w:val="decimal"/>
      <w:isLgl w:val="false"/>
      <w:suff w:val="tab"/>
      <w:lvlText w:val="%1.%2.%3.%4.%5."/>
      <w:lvlJc w:val="left"/>
      <w:pPr>
        <w:ind w:left="2160" w:hanging="360"/>
      </w:pPr>
    </w:lvl>
    <w:lvl w:ilvl="5">
      <w:start w:val="1"/>
      <w:numFmt w:val="decimal"/>
      <w:isLgl w:val="false"/>
      <w:suff w:val="tab"/>
      <w:lvlText w:val="%1.%2.%3.%4.%5.%6."/>
      <w:lvlJc w:val="left"/>
      <w:pPr>
        <w:ind w:left="2520" w:hanging="360"/>
      </w:pPr>
    </w:lvl>
    <w:lvl w:ilvl="6">
      <w:start w:val="1"/>
      <w:numFmt w:val="decimal"/>
      <w:isLgl w:val="false"/>
      <w:suff w:val="tab"/>
      <w:lvlText w:val="%1.%2.%3.%4.%5.%6.%7."/>
      <w:lvlJc w:val="left"/>
      <w:pPr>
        <w:ind w:left="2880" w:hanging="360"/>
      </w:pPr>
    </w:lvl>
    <w:lvl w:ilvl="7">
      <w:start w:val="1"/>
      <w:numFmt w:val="decimal"/>
      <w:isLgl w:val="false"/>
      <w:suff w:val="tab"/>
      <w:lvlText w:val="%1.%2.%3.%4.%5.%6.%7.%8."/>
      <w:lvlJc w:val="left"/>
      <w:pPr>
        <w:ind w:left="3240" w:hanging="360"/>
      </w:pPr>
    </w:lvl>
    <w:lvl w:ilvl="8">
      <w:start w:val="1"/>
      <w:numFmt w:val="decimal"/>
      <w:isLgl w:val="false"/>
      <w:suff w:val="tab"/>
      <w:lvlText w:val="%1.%2.%3.%4.%5.%6.%7.%8.%9."/>
      <w:lvlJc w:val="left"/>
      <w:pPr>
        <w:ind w:left="3600" w:hanging="360"/>
      </w:pPr>
    </w:lvl>
  </w:abstractNum>
  <w:abstractNum w:abstractNumId="19">
    <w:multiLevelType w:val="hybridMultilevel"/>
    <w:lvl w:ilvl="0">
      <w:start w:val="4"/>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1"/>
      <w:numFmt w:val="decimal"/>
      <w:isLgl w:val="false"/>
      <w:suff w:val="tab"/>
      <w:lvlText w:val="%1)"/>
      <w:lvlJc w:val="left"/>
      <w:pPr>
        <w:ind w:left="442" w:hanging="408"/>
      </w:pPr>
      <w:rPr>
        <w:rFonts w:hint="default"/>
      </w:rPr>
    </w:lvl>
    <w:lvl w:ilvl="1">
      <w:start w:val="1"/>
      <w:numFmt w:val="lowerLetter"/>
      <w:isLgl w:val="false"/>
      <w:suff w:val="tab"/>
      <w:lvlText w:val="%2."/>
      <w:lvlJc w:val="left"/>
      <w:pPr>
        <w:ind w:left="1114" w:hanging="360"/>
      </w:pPr>
    </w:lvl>
    <w:lvl w:ilvl="2">
      <w:start w:val="1"/>
      <w:numFmt w:val="lowerRoman"/>
      <w:isLgl w:val="false"/>
      <w:suff w:val="tab"/>
      <w:lvlText w:val="%3."/>
      <w:lvlJc w:val="right"/>
      <w:pPr>
        <w:ind w:left="1834" w:hanging="180"/>
      </w:pPr>
    </w:lvl>
    <w:lvl w:ilvl="3">
      <w:start w:val="1"/>
      <w:numFmt w:val="decimal"/>
      <w:isLgl w:val="false"/>
      <w:suff w:val="tab"/>
      <w:lvlText w:val="%4."/>
      <w:lvlJc w:val="left"/>
      <w:pPr>
        <w:ind w:left="2554" w:hanging="360"/>
      </w:pPr>
    </w:lvl>
    <w:lvl w:ilvl="4">
      <w:start w:val="1"/>
      <w:numFmt w:val="lowerLetter"/>
      <w:isLgl w:val="false"/>
      <w:suff w:val="tab"/>
      <w:lvlText w:val="%5."/>
      <w:lvlJc w:val="left"/>
      <w:pPr>
        <w:ind w:left="3274" w:hanging="360"/>
      </w:pPr>
    </w:lvl>
    <w:lvl w:ilvl="5">
      <w:start w:val="1"/>
      <w:numFmt w:val="lowerRoman"/>
      <w:isLgl w:val="false"/>
      <w:suff w:val="tab"/>
      <w:lvlText w:val="%6."/>
      <w:lvlJc w:val="right"/>
      <w:pPr>
        <w:ind w:left="3994" w:hanging="180"/>
      </w:pPr>
    </w:lvl>
    <w:lvl w:ilvl="6">
      <w:start w:val="1"/>
      <w:numFmt w:val="decimal"/>
      <w:isLgl w:val="false"/>
      <w:suff w:val="tab"/>
      <w:lvlText w:val="%7."/>
      <w:lvlJc w:val="left"/>
      <w:pPr>
        <w:ind w:left="4714" w:hanging="360"/>
      </w:pPr>
    </w:lvl>
    <w:lvl w:ilvl="7">
      <w:start w:val="1"/>
      <w:numFmt w:val="lowerLetter"/>
      <w:isLgl w:val="false"/>
      <w:suff w:val="tab"/>
      <w:lvlText w:val="%8."/>
      <w:lvlJc w:val="left"/>
      <w:pPr>
        <w:ind w:left="5434" w:hanging="360"/>
      </w:pPr>
    </w:lvl>
    <w:lvl w:ilvl="8">
      <w:start w:val="1"/>
      <w:numFmt w:val="lowerRoman"/>
      <w:isLgl w:val="false"/>
      <w:suff w:val="tab"/>
      <w:lvlText w:val="%9."/>
      <w:lvlJc w:val="right"/>
      <w:pPr>
        <w:ind w:left="6154" w:hanging="180"/>
      </w:pPr>
    </w:lvl>
  </w:abstractNum>
  <w:abstractNum w:abstractNumId="21">
    <w:multiLevelType w:val="hybridMultilevel"/>
    <w:styleLink w:val="1020"/>
    <w:lvl w:ilvl="0">
      <w:start w:val="1"/>
      <w:numFmt w:val="decimal"/>
      <w:pStyle w:val="1020"/>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22">
    <w:multiLevelType w:val="hybridMultilevel"/>
    <w:lvl w:ilvl="0">
      <w:start w:val="1"/>
      <w:numFmt w:val="decimal"/>
      <w:isLgl w:val="false"/>
      <w:suff w:val="tab"/>
      <w:lvlText w:val="%1."/>
      <w:lvlJc w:val="left"/>
      <w:pPr>
        <w:ind w:left="397" w:hanging="284"/>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3">
    <w:multiLevelType w:val="hybridMultilevel"/>
    <w:lvl w:ilvl="0">
      <w:start w:val="1"/>
      <w:numFmt w:val="bullet"/>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2156" w:hanging="360"/>
      </w:pPr>
      <w:rPr>
        <w:rFonts w:hint="default" w:ascii="Courier New" w:hAnsi="Courier New" w:cs="Courier New"/>
      </w:rPr>
    </w:lvl>
    <w:lvl w:ilvl="2">
      <w:start w:val="1"/>
      <w:numFmt w:val="bullet"/>
      <w:isLgl w:val="false"/>
      <w:suff w:val="tab"/>
      <w:lvlText w:val=""/>
      <w:lvlJc w:val="left"/>
      <w:pPr>
        <w:ind w:left="2876" w:hanging="360"/>
      </w:pPr>
      <w:rPr>
        <w:rFonts w:hint="default" w:ascii="Wingdings" w:hAnsi="Wingdings"/>
      </w:rPr>
    </w:lvl>
    <w:lvl w:ilvl="3">
      <w:start w:val="1"/>
      <w:numFmt w:val="bullet"/>
      <w:isLgl w:val="false"/>
      <w:suff w:val="tab"/>
      <w:lvlText w:val=""/>
      <w:lvlJc w:val="left"/>
      <w:pPr>
        <w:ind w:left="3596" w:hanging="360"/>
      </w:pPr>
      <w:rPr>
        <w:rFonts w:hint="default" w:ascii="Symbol" w:hAnsi="Symbol"/>
      </w:rPr>
    </w:lvl>
    <w:lvl w:ilvl="4">
      <w:start w:val="1"/>
      <w:numFmt w:val="bullet"/>
      <w:isLgl w:val="false"/>
      <w:suff w:val="tab"/>
      <w:lvlText w:val="o"/>
      <w:lvlJc w:val="left"/>
      <w:pPr>
        <w:ind w:left="4316" w:hanging="360"/>
      </w:pPr>
      <w:rPr>
        <w:rFonts w:hint="default" w:ascii="Courier New" w:hAnsi="Courier New" w:cs="Courier New"/>
      </w:rPr>
    </w:lvl>
    <w:lvl w:ilvl="5">
      <w:start w:val="1"/>
      <w:numFmt w:val="bullet"/>
      <w:isLgl w:val="false"/>
      <w:suff w:val="tab"/>
      <w:lvlText w:val=""/>
      <w:lvlJc w:val="left"/>
      <w:pPr>
        <w:ind w:left="5036" w:hanging="360"/>
      </w:pPr>
      <w:rPr>
        <w:rFonts w:hint="default" w:ascii="Wingdings" w:hAnsi="Wingdings"/>
      </w:rPr>
    </w:lvl>
    <w:lvl w:ilvl="6">
      <w:start w:val="1"/>
      <w:numFmt w:val="bullet"/>
      <w:isLgl w:val="false"/>
      <w:suff w:val="tab"/>
      <w:lvlText w:val=""/>
      <w:lvlJc w:val="left"/>
      <w:pPr>
        <w:ind w:left="5756" w:hanging="360"/>
      </w:pPr>
      <w:rPr>
        <w:rFonts w:hint="default" w:ascii="Symbol" w:hAnsi="Symbol"/>
      </w:rPr>
    </w:lvl>
    <w:lvl w:ilvl="7">
      <w:start w:val="1"/>
      <w:numFmt w:val="bullet"/>
      <w:isLgl w:val="false"/>
      <w:suff w:val="tab"/>
      <w:lvlText w:val="o"/>
      <w:lvlJc w:val="left"/>
      <w:pPr>
        <w:ind w:left="6476" w:hanging="360"/>
      </w:pPr>
      <w:rPr>
        <w:rFonts w:hint="default" w:ascii="Courier New" w:hAnsi="Courier New" w:cs="Courier New"/>
      </w:rPr>
    </w:lvl>
    <w:lvl w:ilvl="8">
      <w:start w:val="1"/>
      <w:numFmt w:val="bullet"/>
      <w:isLgl w:val="false"/>
      <w:suff w:val="tab"/>
      <w:lvlText w:val=""/>
      <w:lvlJc w:val="left"/>
      <w:pPr>
        <w:ind w:left="7196" w:hanging="360"/>
      </w:pPr>
      <w:rPr>
        <w:rFonts w:hint="default" w:ascii="Wingdings" w:hAnsi="Wingdings"/>
      </w:rPr>
    </w:lvl>
  </w:abstractNum>
  <w:abstractNum w:abstractNumId="24">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840" w:hanging="48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25">
    <w:multiLevelType w:val="hybridMultilevel"/>
    <w:lvl w:ilvl="0">
      <w:start w:val="1"/>
      <w:numFmt w:val="decimal"/>
      <w:isLgl w:val="false"/>
      <w:suff w:val="tab"/>
      <w:lvlText w:val="%1."/>
      <w:lvlJc w:val="left"/>
      <w:pPr>
        <w:ind w:left="1300" w:hanging="900"/>
        <w:tabs>
          <w:tab w:val="num" w:pos="1300" w:leader="none"/>
        </w:tabs>
      </w:pPr>
    </w:lvl>
    <w:lvl w:ilvl="1">
      <w:start w:val="1"/>
      <w:numFmt w:val="none"/>
      <w:isLgl w:val="false"/>
      <w:suff w:val="tab"/>
      <w:lvlText w:val=""/>
      <w:lvlJc w:val="left"/>
      <w:pPr>
        <w:ind w:left="0" w:firstLine="0"/>
        <w:tabs>
          <w:tab w:val="num" w:pos="360" w:leader="none"/>
        </w:tabs>
      </w:pPr>
    </w:lvl>
    <w:lvl w:ilvl="2">
      <w:start w:val="1"/>
      <w:numFmt w:val="none"/>
      <w:isLgl w:val="false"/>
      <w:suff w:val="tab"/>
      <w:lvlText w:val=""/>
      <w:lvlJc w:val="left"/>
      <w:pPr>
        <w:ind w:left="0" w:firstLine="0"/>
        <w:tabs>
          <w:tab w:val="num" w:pos="360" w:leader="none"/>
        </w:tabs>
      </w:pPr>
    </w:lvl>
    <w:lvl w:ilvl="3">
      <w:start w:val="1"/>
      <w:numFmt w:val="none"/>
      <w:isLgl w:val="false"/>
      <w:suff w:val="tab"/>
      <w:lvlText w:val=""/>
      <w:lvlJc w:val="left"/>
      <w:pPr>
        <w:ind w:left="0" w:firstLine="0"/>
        <w:tabs>
          <w:tab w:val="num" w:pos="360" w:leader="none"/>
        </w:tabs>
      </w:pPr>
    </w:lvl>
    <w:lvl w:ilvl="4">
      <w:start w:val="1"/>
      <w:numFmt w:val="none"/>
      <w:isLgl w:val="false"/>
      <w:suff w:val="tab"/>
      <w:lvlText w:val=""/>
      <w:lvlJc w:val="left"/>
      <w:pPr>
        <w:ind w:left="0" w:firstLine="0"/>
        <w:tabs>
          <w:tab w:val="num" w:pos="360" w:leader="none"/>
        </w:tabs>
      </w:pPr>
    </w:lvl>
    <w:lvl w:ilvl="5">
      <w:start w:val="1"/>
      <w:numFmt w:val="none"/>
      <w:isLgl w:val="false"/>
      <w:suff w:val="tab"/>
      <w:lvlText w:val=""/>
      <w:lvlJc w:val="left"/>
      <w:pPr>
        <w:ind w:left="0" w:firstLine="0"/>
        <w:tabs>
          <w:tab w:val="num" w:pos="360" w:leader="none"/>
        </w:tabs>
      </w:pPr>
    </w:lvl>
    <w:lvl w:ilvl="6">
      <w:start w:val="1"/>
      <w:numFmt w:val="none"/>
      <w:isLgl w:val="false"/>
      <w:suff w:val="tab"/>
      <w:lvlText w:val=""/>
      <w:lvlJc w:val="left"/>
      <w:pPr>
        <w:ind w:left="0" w:firstLine="0"/>
        <w:tabs>
          <w:tab w:val="num" w:pos="360" w:leader="none"/>
        </w:tabs>
      </w:pPr>
    </w:lvl>
    <w:lvl w:ilvl="7">
      <w:start w:val="1"/>
      <w:numFmt w:val="none"/>
      <w:isLgl w:val="false"/>
      <w:suff w:val="tab"/>
      <w:lvlText w:val=""/>
      <w:lvlJc w:val="left"/>
      <w:pPr>
        <w:ind w:left="0" w:firstLine="0"/>
        <w:tabs>
          <w:tab w:val="num" w:pos="360" w:leader="none"/>
        </w:tabs>
      </w:pPr>
    </w:lvl>
    <w:lvl w:ilvl="8">
      <w:start w:val="1"/>
      <w:numFmt w:val="none"/>
      <w:isLgl w:val="false"/>
      <w:suff w:val="tab"/>
      <w:lvlText w:val=""/>
      <w:lvlJc w:val="left"/>
      <w:pPr>
        <w:ind w:left="0" w:firstLine="0"/>
        <w:tabs>
          <w:tab w:val="num" w:pos="360" w:leader="none"/>
        </w:tabs>
      </w:pPr>
    </w:lvl>
  </w:abstractNum>
  <w:abstractNum w:abstractNumId="26">
    <w:multiLevelType w:val="hybridMultilevel"/>
    <w:lvl w:ilvl="0">
      <w:start w:val="1"/>
      <w:numFmt w:val="bullet"/>
      <w:pStyle w:val="1076"/>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27">
    <w:multiLevelType w:val="hybridMultilevel"/>
    <w:lvl w:ilvl="0">
      <w:start w:val="10"/>
      <w:numFmt w:val="decimal"/>
      <w:isLgl w:val="false"/>
      <w:suff w:val="tab"/>
      <w:lvlText w:val="%1."/>
      <w:lvlJc w:val="left"/>
      <w:pPr>
        <w:ind w:left="540" w:hanging="360"/>
        <w:tabs>
          <w:tab w:val="num" w:pos="540" w:leader="none"/>
        </w:tabs>
      </w:pPr>
    </w:lvl>
    <w:lvl w:ilvl="1">
      <w:start w:val="1"/>
      <w:numFmt w:val="none"/>
      <w:pStyle w:val="991"/>
      <w:isLgl w:val="false"/>
      <w:suff w:val="tab"/>
      <w:lvlText w:val=""/>
      <w:lvlJc w:val="left"/>
      <w:pPr>
        <w:ind w:left="0" w:firstLine="0"/>
        <w:tabs>
          <w:tab w:val="num" w:pos="360" w:leader="none"/>
        </w:tabs>
      </w:pPr>
    </w:lvl>
    <w:lvl w:ilvl="2">
      <w:start w:val="1"/>
      <w:numFmt w:val="none"/>
      <w:isLgl w:val="false"/>
      <w:suff w:val="tab"/>
      <w:lvlText w:val=""/>
      <w:lvlJc w:val="left"/>
      <w:pPr>
        <w:ind w:left="0" w:firstLine="0"/>
        <w:tabs>
          <w:tab w:val="num" w:pos="360" w:leader="none"/>
        </w:tabs>
      </w:pPr>
    </w:lvl>
    <w:lvl w:ilvl="3">
      <w:start w:val="1"/>
      <w:numFmt w:val="none"/>
      <w:isLgl w:val="false"/>
      <w:suff w:val="tab"/>
      <w:lvlText w:val=""/>
      <w:lvlJc w:val="left"/>
      <w:pPr>
        <w:ind w:left="0" w:firstLine="0"/>
        <w:tabs>
          <w:tab w:val="num" w:pos="360" w:leader="none"/>
        </w:tabs>
      </w:pPr>
    </w:lvl>
    <w:lvl w:ilvl="4">
      <w:start w:val="1"/>
      <w:numFmt w:val="none"/>
      <w:isLgl w:val="false"/>
      <w:suff w:val="tab"/>
      <w:lvlText w:val=""/>
      <w:lvlJc w:val="left"/>
      <w:pPr>
        <w:ind w:left="0" w:firstLine="0"/>
        <w:tabs>
          <w:tab w:val="num" w:pos="360" w:leader="none"/>
        </w:tabs>
      </w:pPr>
    </w:lvl>
    <w:lvl w:ilvl="5">
      <w:start w:val="1"/>
      <w:numFmt w:val="none"/>
      <w:isLgl w:val="false"/>
      <w:suff w:val="tab"/>
      <w:lvlText w:val=""/>
      <w:lvlJc w:val="left"/>
      <w:pPr>
        <w:ind w:left="0" w:firstLine="0"/>
        <w:tabs>
          <w:tab w:val="num" w:pos="360" w:leader="none"/>
        </w:tabs>
      </w:pPr>
    </w:lvl>
    <w:lvl w:ilvl="6">
      <w:start w:val="1"/>
      <w:numFmt w:val="none"/>
      <w:isLgl w:val="false"/>
      <w:suff w:val="tab"/>
      <w:lvlText w:val=""/>
      <w:lvlJc w:val="left"/>
      <w:pPr>
        <w:ind w:left="0" w:firstLine="0"/>
        <w:tabs>
          <w:tab w:val="num" w:pos="360" w:leader="none"/>
        </w:tabs>
      </w:pPr>
    </w:lvl>
    <w:lvl w:ilvl="7">
      <w:start w:val="1"/>
      <w:numFmt w:val="none"/>
      <w:isLgl w:val="false"/>
      <w:suff w:val="tab"/>
      <w:lvlText w:val=""/>
      <w:lvlJc w:val="left"/>
      <w:pPr>
        <w:ind w:left="0" w:firstLine="0"/>
        <w:tabs>
          <w:tab w:val="num" w:pos="360" w:leader="none"/>
        </w:tabs>
      </w:pPr>
    </w:lvl>
    <w:lvl w:ilvl="8">
      <w:start w:val="1"/>
      <w:numFmt w:val="none"/>
      <w:isLgl w:val="false"/>
      <w:suff w:val="tab"/>
      <w:lvlText w:val=""/>
      <w:lvlJc w:val="left"/>
      <w:pPr>
        <w:ind w:left="0" w:firstLine="0"/>
        <w:tabs>
          <w:tab w:val="num" w:pos="360" w:leader="none"/>
        </w:tabs>
      </w:pPr>
    </w:lvl>
  </w:abstractNum>
  <w:abstractNum w:abstractNumId="28">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29">
    <w:multiLevelType w:val="hybridMultilevel"/>
    <w:lvl w:ilvl="0">
      <w:start w:val="14"/>
      <w:numFmt w:val="decimal"/>
      <w:isLgl w:val="false"/>
      <w:suff w:val="tab"/>
      <w:lvlText w:val="%1."/>
      <w:lvlJc w:val="left"/>
      <w:pPr>
        <w:ind w:left="660" w:hanging="660"/>
      </w:pPr>
    </w:lvl>
    <w:lvl w:ilvl="1">
      <w:start w:val="1"/>
      <w:numFmt w:val="decimal"/>
      <w:isLgl w:val="false"/>
      <w:suff w:val="tab"/>
      <w:lvlText w:val="%1.%2."/>
      <w:lvlJc w:val="left"/>
      <w:pPr>
        <w:ind w:left="1014" w:hanging="660"/>
      </w:pPr>
    </w:lvl>
    <w:lvl w:ilvl="2">
      <w:start w:val="3"/>
      <w:numFmt w:val="decimal"/>
      <w:isLgl w:val="false"/>
      <w:suff w:val="tab"/>
      <w:lvlText w:val="%1.%2.%3."/>
      <w:lvlJc w:val="left"/>
      <w:pPr>
        <w:ind w:left="1430" w:hanging="720"/>
      </w:pPr>
    </w:lvl>
    <w:lvl w:ilvl="3">
      <w:start w:val="1"/>
      <w:numFmt w:val="decimal"/>
      <w:isLgl w:val="false"/>
      <w:suff w:val="tab"/>
      <w:lvlText w:val="%1.%2.%3.%4."/>
      <w:lvlJc w:val="left"/>
      <w:pPr>
        <w:ind w:left="1782" w:hanging="720"/>
      </w:pPr>
    </w:lvl>
    <w:lvl w:ilvl="4">
      <w:start w:val="1"/>
      <w:numFmt w:val="decimal"/>
      <w:isLgl w:val="false"/>
      <w:suff w:val="tab"/>
      <w:lvlText w:val="%1.%2.%3.%4.%5."/>
      <w:lvlJc w:val="left"/>
      <w:pPr>
        <w:ind w:left="2496" w:hanging="1080"/>
      </w:pPr>
    </w:lvl>
    <w:lvl w:ilvl="5">
      <w:start w:val="1"/>
      <w:numFmt w:val="decimal"/>
      <w:isLgl w:val="false"/>
      <w:suff w:val="tab"/>
      <w:lvlText w:val="%1.%2.%3.%4.%5.%6."/>
      <w:lvlJc w:val="left"/>
      <w:pPr>
        <w:ind w:left="2850" w:hanging="1080"/>
      </w:pPr>
    </w:lvl>
    <w:lvl w:ilvl="6">
      <w:start w:val="1"/>
      <w:numFmt w:val="decimal"/>
      <w:isLgl w:val="false"/>
      <w:suff w:val="tab"/>
      <w:lvlText w:val="%1.%2.%3.%4.%5.%6.%7."/>
      <w:lvlJc w:val="left"/>
      <w:pPr>
        <w:ind w:left="3564" w:hanging="1440"/>
      </w:pPr>
    </w:lvl>
    <w:lvl w:ilvl="7">
      <w:start w:val="1"/>
      <w:numFmt w:val="decimal"/>
      <w:isLgl w:val="false"/>
      <w:suff w:val="tab"/>
      <w:lvlText w:val="%1.%2.%3.%4.%5.%6.%7.%8."/>
      <w:lvlJc w:val="left"/>
      <w:pPr>
        <w:ind w:left="3918" w:hanging="1440"/>
      </w:pPr>
    </w:lvl>
    <w:lvl w:ilvl="8">
      <w:start w:val="1"/>
      <w:numFmt w:val="decimal"/>
      <w:isLgl w:val="false"/>
      <w:suff w:val="tab"/>
      <w:lvlText w:val="%1.%2.%3.%4.%5.%6.%7.%8.%9."/>
      <w:lvlJc w:val="left"/>
      <w:pPr>
        <w:ind w:left="4632" w:hanging="1800"/>
      </w:pPr>
    </w:lvl>
  </w:abstractNum>
  <w:abstractNum w:abstractNumId="30">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0"/>
    </w:lvlOverride>
  </w:num>
  <w:num w:numId="3">
    <w:abstractNumId w:val="15"/>
  </w:num>
  <w:num w:numId="4">
    <w:abstractNumId w:val="21"/>
  </w:num>
  <w:num w:numId="5">
    <w:abstractNumId w:val="26"/>
  </w:num>
  <w:num w:numId="6">
    <w:abstractNumId w:val="20"/>
  </w:num>
  <w:num w:numId="7">
    <w:abstractNumId w:val="14"/>
  </w:num>
  <w:num w:numId="8">
    <w:abstractNumId w:val="17"/>
  </w:num>
  <w:num w:numId="9">
    <w:abstractNumId w:val="1"/>
  </w:num>
  <w:num w:numId="10">
    <w:abstractNumId w:val="3"/>
  </w:num>
  <w:num w:numId="11">
    <w:abstractNumId w:val="13"/>
  </w:num>
  <w:num w:numId="12">
    <w:abstractNumId w:val="25"/>
  </w:num>
  <w:num w:numId="13">
    <w:abstractNumId w:val="11"/>
  </w:num>
  <w:num w:numId="14">
    <w:abstractNumId w:val="5"/>
  </w:num>
  <w:num w:numId="15">
    <w:abstractNumId w:val="22"/>
  </w:num>
  <w:num w:numId="16">
    <w:abstractNumId w:val="2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24"/>
  </w:num>
  <w:num w:numId="19">
    <w:abstractNumId w:val="16"/>
  </w:num>
  <w:num w:numId="20">
    <w:abstractNumId w:val="30"/>
  </w:num>
  <w:num w:numId="21">
    <w:abstractNumId w:val="28"/>
  </w:num>
  <w:num w:numId="22">
    <w:abstractNumId w:val="1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2"/>
  </w:num>
  <w:num w:numId="25">
    <w:abstractNumId w:val="0"/>
  </w:num>
  <w:num w:numId="26">
    <w:abstractNumId w:val="19"/>
  </w:num>
  <w:num w:numId="27">
    <w:abstractNumId w:val="9"/>
  </w:num>
  <w:num w:numId="28">
    <w:abstractNumId w:val="23"/>
  </w:num>
  <w:num w:numId="29">
    <w:abstractNumId w:val="7"/>
  </w:num>
  <w:num w:numId="30">
    <w:abstractNumId w:val="10"/>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63" w:default="1">
    <w:name w:val="Normal"/>
    <w:qFormat/>
  </w:style>
  <w:style w:type="paragraph" w:styleId="764">
    <w:name w:val="Heading 1"/>
    <w:basedOn w:val="763"/>
    <w:next w:val="763"/>
    <w:link w:val="941"/>
    <w:uiPriority w:val="9"/>
    <w:qFormat/>
    <w:pPr>
      <w:ind w:left="567" w:hanging="567"/>
      <w:jc w:val="both"/>
      <w:spacing w:before="120" w:after="120" w:line="240" w:lineRule="auto"/>
      <w:widowControl w:val="off"/>
      <w:tabs>
        <w:tab w:val="left" w:pos="567" w:leader="none"/>
      </w:tabs>
      <w:outlineLvl w:val="0"/>
    </w:pPr>
    <w:rPr>
      <w:rFonts w:ascii="Times New Roman" w:hAnsi="Times New Roman" w:eastAsia="Times New Roman" w:cs="Times New Roman"/>
      <w:b/>
      <w:sz w:val="24"/>
      <w:szCs w:val="20"/>
      <w:lang w:eastAsia="ru-RU"/>
    </w:rPr>
  </w:style>
  <w:style w:type="paragraph" w:styleId="765">
    <w:name w:val="Heading 2"/>
    <w:basedOn w:val="763"/>
    <w:next w:val="763"/>
    <w:link w:val="942"/>
    <w:uiPriority w:val="9"/>
    <w:qFormat/>
    <w:pPr>
      <w:jc w:val="both"/>
      <w:keepNext/>
      <w:spacing w:after="0" w:line="240" w:lineRule="auto"/>
      <w:outlineLvl w:val="1"/>
    </w:pPr>
    <w:rPr>
      <w:rFonts w:ascii="Times New Roman" w:hAnsi="Times New Roman" w:eastAsia="Times New Roman" w:cs="Times New Roman"/>
      <w:b/>
      <w:sz w:val="28"/>
      <w:szCs w:val="20"/>
      <w:lang w:eastAsia="ru-RU"/>
    </w:rPr>
  </w:style>
  <w:style w:type="paragraph" w:styleId="766">
    <w:name w:val="Heading 3"/>
    <w:basedOn w:val="763"/>
    <w:next w:val="763"/>
    <w:link w:val="943"/>
    <w:qFormat/>
    <w:pPr>
      <w:keepNext/>
      <w:spacing w:before="240" w:after="60" w:line="240" w:lineRule="auto"/>
      <w:outlineLvl w:val="2"/>
    </w:pPr>
    <w:rPr>
      <w:rFonts w:ascii="Arial" w:hAnsi="Arial" w:eastAsia="Times New Roman" w:cs="Times New Roman"/>
      <w:b/>
      <w:bCs/>
      <w:sz w:val="26"/>
      <w:szCs w:val="26"/>
    </w:rPr>
  </w:style>
  <w:style w:type="paragraph" w:styleId="767">
    <w:name w:val="Heading 4"/>
    <w:basedOn w:val="766"/>
    <w:next w:val="763"/>
    <w:link w:val="944"/>
    <w:qFormat/>
    <w:pPr>
      <w:jc w:val="both"/>
      <w:keepNext w:val="0"/>
      <w:spacing w:before="0" w:after="0"/>
      <w:widowControl w:val="off"/>
      <w:outlineLvl w:val="3"/>
    </w:pPr>
    <w:rPr>
      <w:b w:val="0"/>
      <w:bCs w:val="0"/>
      <w:sz w:val="24"/>
      <w:szCs w:val="24"/>
    </w:rPr>
  </w:style>
  <w:style w:type="paragraph" w:styleId="768">
    <w:name w:val="Heading 5"/>
    <w:basedOn w:val="763"/>
    <w:next w:val="763"/>
    <w:link w:val="945"/>
    <w:uiPriority w:val="9"/>
    <w:semiHidden/>
    <w:unhideWhenUsed/>
    <w:qFormat/>
    <w:pPr>
      <w:keepLines/>
      <w:keepNext/>
      <w:spacing w:before="200" w:after="0" w:line="276" w:lineRule="auto"/>
      <w:outlineLvl w:val="4"/>
    </w:pPr>
    <w:rPr>
      <w:rFonts w:ascii="Cambria" w:hAnsi="Cambria" w:eastAsia="Times New Roman" w:cs="Times New Roman"/>
      <w:color w:val="243f60"/>
    </w:rPr>
  </w:style>
  <w:style w:type="paragraph" w:styleId="769">
    <w:name w:val="Heading 6"/>
    <w:basedOn w:val="763"/>
    <w:next w:val="763"/>
    <w:link w:val="946"/>
    <w:qFormat/>
    <w:pPr>
      <w:spacing w:before="240" w:after="60" w:line="240" w:lineRule="auto"/>
      <w:outlineLvl w:val="5"/>
    </w:pPr>
    <w:rPr>
      <w:rFonts w:ascii="Times New Roman" w:hAnsi="Times New Roman" w:eastAsia="Times New Roman" w:cs="Times New Roman"/>
      <w:b/>
      <w:bCs/>
    </w:rPr>
  </w:style>
  <w:style w:type="paragraph" w:styleId="770">
    <w:name w:val="Heading 7"/>
    <w:basedOn w:val="763"/>
    <w:next w:val="763"/>
    <w:link w:val="947"/>
    <w:qFormat/>
    <w:pPr>
      <w:spacing w:before="240" w:after="60" w:line="240" w:lineRule="auto"/>
      <w:outlineLvl w:val="6"/>
    </w:pPr>
    <w:rPr>
      <w:rFonts w:ascii="Times New Roman" w:hAnsi="Times New Roman" w:eastAsia="Times New Roman" w:cs="Times New Roman"/>
      <w:sz w:val="24"/>
      <w:szCs w:val="24"/>
    </w:rPr>
  </w:style>
  <w:style w:type="paragraph" w:styleId="771">
    <w:name w:val="Heading 8"/>
    <w:basedOn w:val="763"/>
    <w:next w:val="763"/>
    <w:link w:val="948"/>
    <w:qFormat/>
    <w:pPr>
      <w:spacing w:before="240" w:after="60" w:line="240" w:lineRule="auto"/>
      <w:outlineLvl w:val="7"/>
    </w:pPr>
    <w:rPr>
      <w:rFonts w:ascii="Times New Roman" w:hAnsi="Times New Roman" w:eastAsia="Times New Roman" w:cs="Times New Roman"/>
      <w:i/>
      <w:iCs/>
      <w:sz w:val="24"/>
      <w:szCs w:val="24"/>
    </w:rPr>
  </w:style>
  <w:style w:type="paragraph" w:styleId="772">
    <w:name w:val="Heading 9"/>
    <w:basedOn w:val="763"/>
    <w:next w:val="763"/>
    <w:link w:val="790"/>
    <w:uiPriority w:val="9"/>
    <w:unhideWhenUsed/>
    <w:qFormat/>
    <w:pPr>
      <w:keepLines/>
      <w:keepNext/>
      <w:spacing w:before="320" w:after="200"/>
      <w:outlineLvl w:val="8"/>
    </w:pPr>
    <w:rPr>
      <w:rFonts w:ascii="Arial" w:hAnsi="Arial" w:eastAsia="Arial" w:cs="Arial"/>
      <w:i/>
      <w:iCs/>
      <w:sz w:val="21"/>
      <w:szCs w:val="21"/>
    </w:rPr>
  </w:style>
  <w:style w:type="character" w:styleId="773" w:default="1">
    <w:name w:val="Default Paragraph Font"/>
    <w:uiPriority w:val="1"/>
    <w:semiHidden/>
    <w:unhideWhenUsed/>
  </w:style>
  <w:style w:type="table" w:styleId="774" w:default="1">
    <w:name w:val="Normal Table"/>
    <w:uiPriority w:val="99"/>
    <w:semiHidden/>
    <w:unhideWhenUsed/>
    <w:tblPr>
      <w:tblInd w:w="0" w:type="dxa"/>
      <w:tblCellMar>
        <w:left w:w="108" w:type="dxa"/>
        <w:top w:w="0" w:type="dxa"/>
        <w:right w:w="108" w:type="dxa"/>
        <w:bottom w:w="0" w:type="dxa"/>
      </w:tblCellMar>
    </w:tblPr>
  </w:style>
  <w:style w:type="numbering" w:styleId="775" w:default="1">
    <w:name w:val="No List"/>
    <w:uiPriority w:val="99"/>
    <w:semiHidden/>
    <w:unhideWhenUsed/>
  </w:style>
  <w:style w:type="character" w:styleId="776" w:customStyle="1">
    <w:name w:val="Heading 9 Char"/>
    <w:basedOn w:val="773"/>
    <w:uiPriority w:val="9"/>
    <w:rPr>
      <w:rFonts w:ascii="Arial" w:hAnsi="Arial" w:eastAsia="Arial" w:cs="Arial"/>
      <w:i/>
      <w:iCs/>
      <w:sz w:val="21"/>
      <w:szCs w:val="21"/>
    </w:rPr>
  </w:style>
  <w:style w:type="character" w:styleId="777" w:customStyle="1">
    <w:name w:val="Title Char"/>
    <w:basedOn w:val="773"/>
    <w:uiPriority w:val="10"/>
    <w:rPr>
      <w:sz w:val="48"/>
      <w:szCs w:val="48"/>
    </w:rPr>
  </w:style>
  <w:style w:type="character" w:styleId="778" w:customStyle="1">
    <w:name w:val="Quote Char"/>
    <w:uiPriority w:val="29"/>
    <w:rPr>
      <w:i/>
    </w:rPr>
  </w:style>
  <w:style w:type="character" w:styleId="779" w:customStyle="1">
    <w:name w:val="Intense Quote Char"/>
    <w:uiPriority w:val="30"/>
    <w:rPr>
      <w:i/>
    </w:rPr>
  </w:style>
  <w:style w:type="character" w:styleId="780" w:customStyle="1">
    <w:name w:val="Caption Char"/>
    <w:basedOn w:val="773"/>
    <w:uiPriority w:val="35"/>
    <w:rPr>
      <w:b/>
      <w:bCs/>
      <w:color w:val="4472c4" w:themeColor="accent1"/>
      <w:sz w:val="18"/>
      <w:szCs w:val="18"/>
    </w:rPr>
  </w:style>
  <w:style w:type="character" w:styleId="781" w:customStyle="1">
    <w:name w:val="Endnote Text Char"/>
    <w:uiPriority w:val="99"/>
    <w:rPr>
      <w:sz w:val="20"/>
    </w:rPr>
  </w:style>
  <w:style w:type="character" w:styleId="782" w:customStyle="1">
    <w:name w:val="Heading 1 Char"/>
    <w:basedOn w:val="773"/>
    <w:uiPriority w:val="9"/>
    <w:rPr>
      <w:rFonts w:ascii="Arial" w:hAnsi="Arial" w:eastAsia="Arial" w:cs="Arial"/>
      <w:sz w:val="40"/>
      <w:szCs w:val="40"/>
    </w:rPr>
  </w:style>
  <w:style w:type="character" w:styleId="783" w:customStyle="1">
    <w:name w:val="Heading 2 Char"/>
    <w:basedOn w:val="773"/>
    <w:uiPriority w:val="9"/>
    <w:rPr>
      <w:rFonts w:ascii="Arial" w:hAnsi="Arial" w:eastAsia="Arial" w:cs="Arial"/>
      <w:sz w:val="34"/>
    </w:rPr>
  </w:style>
  <w:style w:type="character" w:styleId="784" w:customStyle="1">
    <w:name w:val="Heading 3 Char"/>
    <w:basedOn w:val="773"/>
    <w:uiPriority w:val="9"/>
    <w:rPr>
      <w:rFonts w:ascii="Arial" w:hAnsi="Arial" w:eastAsia="Arial" w:cs="Arial"/>
      <w:sz w:val="30"/>
      <w:szCs w:val="30"/>
    </w:rPr>
  </w:style>
  <w:style w:type="character" w:styleId="785" w:customStyle="1">
    <w:name w:val="Heading 4 Char"/>
    <w:basedOn w:val="773"/>
    <w:uiPriority w:val="9"/>
    <w:rPr>
      <w:rFonts w:ascii="Arial" w:hAnsi="Arial" w:eastAsia="Arial" w:cs="Arial"/>
      <w:b/>
      <w:bCs/>
      <w:sz w:val="26"/>
      <w:szCs w:val="26"/>
    </w:rPr>
  </w:style>
  <w:style w:type="character" w:styleId="786" w:customStyle="1">
    <w:name w:val="Heading 5 Char"/>
    <w:basedOn w:val="773"/>
    <w:uiPriority w:val="9"/>
    <w:rPr>
      <w:rFonts w:ascii="Arial" w:hAnsi="Arial" w:eastAsia="Arial" w:cs="Arial"/>
      <w:b/>
      <w:bCs/>
      <w:sz w:val="24"/>
      <w:szCs w:val="24"/>
    </w:rPr>
  </w:style>
  <w:style w:type="character" w:styleId="787" w:customStyle="1">
    <w:name w:val="Heading 6 Char"/>
    <w:basedOn w:val="773"/>
    <w:uiPriority w:val="9"/>
    <w:rPr>
      <w:rFonts w:ascii="Arial" w:hAnsi="Arial" w:eastAsia="Arial" w:cs="Arial"/>
      <w:b/>
      <w:bCs/>
      <w:sz w:val="22"/>
      <w:szCs w:val="22"/>
    </w:rPr>
  </w:style>
  <w:style w:type="character" w:styleId="788" w:customStyle="1">
    <w:name w:val="Heading 7 Char"/>
    <w:basedOn w:val="773"/>
    <w:uiPriority w:val="9"/>
    <w:rPr>
      <w:rFonts w:ascii="Arial" w:hAnsi="Arial" w:eastAsia="Arial" w:cs="Arial"/>
      <w:b/>
      <w:bCs/>
      <w:i/>
      <w:iCs/>
      <w:sz w:val="22"/>
      <w:szCs w:val="22"/>
    </w:rPr>
  </w:style>
  <w:style w:type="character" w:styleId="789" w:customStyle="1">
    <w:name w:val="Heading 8 Char"/>
    <w:basedOn w:val="773"/>
    <w:uiPriority w:val="9"/>
    <w:rPr>
      <w:rFonts w:ascii="Arial" w:hAnsi="Arial" w:eastAsia="Arial" w:cs="Arial"/>
      <w:i/>
      <w:iCs/>
      <w:sz w:val="22"/>
      <w:szCs w:val="22"/>
    </w:rPr>
  </w:style>
  <w:style w:type="character" w:styleId="790" w:customStyle="1">
    <w:name w:val="Заголовок 9 Знак"/>
    <w:basedOn w:val="773"/>
    <w:link w:val="772"/>
    <w:uiPriority w:val="9"/>
    <w:rPr>
      <w:rFonts w:ascii="Arial" w:hAnsi="Arial" w:eastAsia="Arial" w:cs="Arial"/>
      <w:i/>
      <w:iCs/>
      <w:sz w:val="21"/>
      <w:szCs w:val="21"/>
    </w:rPr>
  </w:style>
  <w:style w:type="paragraph" w:styleId="791">
    <w:name w:val="Title"/>
    <w:basedOn w:val="763"/>
    <w:next w:val="763"/>
    <w:link w:val="792"/>
    <w:uiPriority w:val="10"/>
    <w:qFormat/>
    <w:pPr>
      <w:contextualSpacing/>
      <w:spacing w:before="300" w:after="200"/>
    </w:pPr>
    <w:rPr>
      <w:sz w:val="48"/>
      <w:szCs w:val="48"/>
    </w:rPr>
  </w:style>
  <w:style w:type="character" w:styleId="792" w:customStyle="1">
    <w:name w:val="Заголовок Знак"/>
    <w:basedOn w:val="773"/>
    <w:link w:val="791"/>
    <w:uiPriority w:val="10"/>
    <w:rPr>
      <w:sz w:val="48"/>
      <w:szCs w:val="48"/>
    </w:rPr>
  </w:style>
  <w:style w:type="character" w:styleId="793" w:customStyle="1">
    <w:name w:val="Subtitle Char"/>
    <w:basedOn w:val="773"/>
    <w:uiPriority w:val="11"/>
    <w:rPr>
      <w:sz w:val="24"/>
      <w:szCs w:val="24"/>
    </w:rPr>
  </w:style>
  <w:style w:type="paragraph" w:styleId="794">
    <w:name w:val="Quote"/>
    <w:basedOn w:val="763"/>
    <w:next w:val="763"/>
    <w:link w:val="795"/>
    <w:uiPriority w:val="29"/>
    <w:qFormat/>
    <w:pPr>
      <w:ind w:left="720" w:right="720"/>
    </w:pPr>
    <w:rPr>
      <w:i/>
    </w:rPr>
  </w:style>
  <w:style w:type="character" w:styleId="795" w:customStyle="1">
    <w:name w:val="Цитата 2 Знак"/>
    <w:link w:val="794"/>
    <w:uiPriority w:val="29"/>
    <w:rPr>
      <w:i/>
    </w:rPr>
  </w:style>
  <w:style w:type="paragraph" w:styleId="796">
    <w:name w:val="Intense Quote"/>
    <w:basedOn w:val="763"/>
    <w:next w:val="763"/>
    <w:link w:val="797"/>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97" w:customStyle="1">
    <w:name w:val="Выделенная цитата Знак"/>
    <w:link w:val="796"/>
    <w:uiPriority w:val="30"/>
    <w:rPr>
      <w:i/>
    </w:rPr>
  </w:style>
  <w:style w:type="character" w:styleId="798" w:customStyle="1">
    <w:name w:val="Header Char"/>
    <w:basedOn w:val="773"/>
    <w:uiPriority w:val="99"/>
  </w:style>
  <w:style w:type="character" w:styleId="799" w:customStyle="1">
    <w:name w:val="Footer Char"/>
    <w:basedOn w:val="773"/>
    <w:uiPriority w:val="99"/>
  </w:style>
  <w:style w:type="paragraph" w:styleId="800">
    <w:name w:val="Caption"/>
    <w:basedOn w:val="763"/>
    <w:next w:val="763"/>
    <w:link w:val="801"/>
    <w:uiPriority w:val="35"/>
    <w:semiHidden/>
    <w:unhideWhenUsed/>
    <w:qFormat/>
    <w:pPr>
      <w:spacing w:line="276" w:lineRule="auto"/>
    </w:pPr>
    <w:rPr>
      <w:b/>
      <w:bCs/>
      <w:color w:val="4472c4" w:themeColor="accent1"/>
      <w:sz w:val="18"/>
      <w:szCs w:val="18"/>
    </w:rPr>
  </w:style>
  <w:style w:type="character" w:styleId="801" w:customStyle="1">
    <w:name w:val="Название объекта Знак"/>
    <w:basedOn w:val="773"/>
    <w:link w:val="800"/>
    <w:uiPriority w:val="35"/>
    <w:rPr>
      <w:b/>
      <w:bCs/>
      <w:color w:val="4472c4" w:themeColor="accent1"/>
      <w:sz w:val="18"/>
      <w:szCs w:val="18"/>
    </w:rPr>
  </w:style>
  <w:style w:type="table" w:styleId="802" w:customStyle="1">
    <w:name w:val="Table Grid Light"/>
    <w:basedOn w:val="774"/>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803">
    <w:name w:val="Plain Table 1"/>
    <w:basedOn w:val="774"/>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04">
    <w:name w:val="Plain Table 2"/>
    <w:basedOn w:val="774"/>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05">
    <w:name w:val="Plain Table 3"/>
    <w:basedOn w:val="774"/>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06">
    <w:name w:val="Plain Table 4"/>
    <w:basedOn w:val="774"/>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07">
    <w:name w:val="Plain Table 5"/>
    <w:basedOn w:val="774"/>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08">
    <w:name w:val="Grid Table 1 Light"/>
    <w:basedOn w:val="774"/>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09" w:customStyle="1">
    <w:name w:val="Grid Table 1 Light - Accent 1"/>
    <w:basedOn w:val="774"/>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810" w:customStyle="1">
    <w:name w:val="Grid Table 1 Light - Accent 2"/>
    <w:basedOn w:val="774"/>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811" w:customStyle="1">
    <w:name w:val="Grid Table 1 Light - Accent 3"/>
    <w:basedOn w:val="774"/>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812" w:customStyle="1">
    <w:name w:val="Grid Table 1 Light - Accent 4"/>
    <w:basedOn w:val="774"/>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813" w:customStyle="1">
    <w:name w:val="Grid Table 1 Light - Accent 5"/>
    <w:basedOn w:val="774"/>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814" w:customStyle="1">
    <w:name w:val="Grid Table 1 Light - Accent 6"/>
    <w:basedOn w:val="774"/>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815">
    <w:name w:val="Grid Table 2"/>
    <w:basedOn w:val="774"/>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16" w:customStyle="1">
    <w:name w:val="Grid Table 2 - Accent 1"/>
    <w:basedOn w:val="774"/>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817" w:customStyle="1">
    <w:name w:val="Grid Table 2 - Accent 2"/>
    <w:basedOn w:val="774"/>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818" w:customStyle="1">
    <w:name w:val="Grid Table 2 - Accent 3"/>
    <w:basedOn w:val="774"/>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819" w:customStyle="1">
    <w:name w:val="Grid Table 2 - Accent 4"/>
    <w:basedOn w:val="774"/>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820" w:customStyle="1">
    <w:name w:val="Grid Table 2 - Accent 5"/>
    <w:basedOn w:val="774"/>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821" w:customStyle="1">
    <w:name w:val="Grid Table 2 - Accent 6"/>
    <w:basedOn w:val="774"/>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822">
    <w:name w:val="Grid Table 3"/>
    <w:basedOn w:val="774"/>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3" w:customStyle="1">
    <w:name w:val="Grid Table 3 - Accent 1"/>
    <w:basedOn w:val="774"/>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4" w:customStyle="1">
    <w:name w:val="Grid Table 3 - Accent 2"/>
    <w:basedOn w:val="774"/>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5" w:customStyle="1">
    <w:name w:val="Grid Table 3 - Accent 3"/>
    <w:basedOn w:val="774"/>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6" w:customStyle="1">
    <w:name w:val="Grid Table 3 - Accent 4"/>
    <w:basedOn w:val="774"/>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7" w:customStyle="1">
    <w:name w:val="Grid Table 3 - Accent 5"/>
    <w:basedOn w:val="774"/>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8" w:customStyle="1">
    <w:name w:val="Grid Table 3 - Accent 6"/>
    <w:basedOn w:val="774"/>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9">
    <w:name w:val="Grid Table 4"/>
    <w:basedOn w:val="774"/>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30" w:customStyle="1">
    <w:name w:val="Grid Table 4 - Accent 1"/>
    <w:basedOn w:val="774"/>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Arial" w:hAnsi="Arial"/>
        <w:color w:val="404040"/>
        <w:sz w:val="22"/>
      </w:rPr>
      <w:tcPr>
        <w:shd w:val="clear" w:color="dae3f3" w:themeColor="accent1" w:themeTint="32" w:fill="dae3f3" w:themeFill="accent1" w:themeFillTint="32"/>
      </w:tcPr>
    </w:tblStylePr>
    <w:tblStylePr w:type="band1Vert">
      <w:rPr>
        <w:rFonts w:ascii="Arial" w:hAnsi="Arial"/>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831" w:customStyle="1">
    <w:name w:val="Grid Table 4 - Accent 2"/>
    <w:basedOn w:val="774"/>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832" w:customStyle="1">
    <w:name w:val="Grid Table 4 - Accent 3"/>
    <w:basedOn w:val="774"/>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833" w:customStyle="1">
    <w:name w:val="Grid Table 4 - Accent 4"/>
    <w:basedOn w:val="774"/>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834" w:customStyle="1">
    <w:name w:val="Grid Table 4 - Accent 5"/>
    <w:basedOn w:val="774"/>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Arial" w:hAnsi="Arial"/>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835" w:customStyle="1">
    <w:name w:val="Grid Table 4 - Accent 6"/>
    <w:basedOn w:val="774"/>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36">
    <w:name w:val="Grid Table 5 Dark"/>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37" w:customStyle="1">
    <w:name w:val="Grid Table 5 Dark- Accent 1"/>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Arial" w:hAnsi="Arial"/>
        <w:b/>
        <w:color w:val="ffffff"/>
        <w:sz w:val="22"/>
      </w:rPr>
      <w:tcPr>
        <w:shd w:val="clear" w:color="4472c4" w:themeColor="accent1" w:fill="4472c4" w:themeFill="accent1"/>
      </w:tcPr>
    </w:tblStylePr>
    <w:tblStylePr w:type="firstRow">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shd w:val="clear" w:color="4472c4" w:themeColor="accent1" w:fill="4472c4" w:themeFill="accent1"/>
        <w:tcBorders>
          <w:top w:val="single" w:color="FFFFFF" w:themeColor="light1" w:sz="4" w:space="0"/>
        </w:tcBorders>
      </w:tcPr>
    </w:tblStylePr>
  </w:style>
  <w:style w:type="table" w:styleId="838" w:customStyle="1">
    <w:name w:val="Grid Table 5 Dark - Accent 2"/>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839" w:customStyle="1">
    <w:name w:val="Grid Table 5 Dark - Accent 3"/>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840" w:customStyle="1">
    <w:name w:val="Grid Table 5 Dark- Accent 4"/>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841" w:customStyle="1">
    <w:name w:val="Grid Table 5 Dark - Accent 5"/>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Arial" w:hAnsi="Arial"/>
        <w:b/>
        <w:color w:val="ffffff"/>
        <w:sz w:val="22"/>
      </w:rPr>
      <w:tcPr>
        <w:shd w:val="clear" w:color="5b9bd5" w:themeColor="accent5" w:fill="5b9bd5" w:themeFill="accent5"/>
      </w:tcPr>
    </w:tblStylePr>
    <w:tblStylePr w:type="firstRow">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shd w:val="clear" w:color="5b9bd5" w:themeColor="accent5" w:fill="5b9bd5" w:themeFill="accent5"/>
        <w:tcBorders>
          <w:top w:val="single" w:color="FFFFFF" w:themeColor="light1" w:sz="4" w:space="0"/>
        </w:tcBorders>
      </w:tcPr>
    </w:tblStylePr>
  </w:style>
  <w:style w:type="table" w:styleId="842" w:customStyle="1">
    <w:name w:val="Grid Table 5 Dark - Accent 6"/>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843">
    <w:name w:val="Grid Table 6 Colorful"/>
    <w:basedOn w:val="774"/>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44" w:customStyle="1">
    <w:name w:val="Grid Table 6 Colorful - Accent 1"/>
    <w:basedOn w:val="774"/>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845" w:customStyle="1">
    <w:name w:val="Grid Table 6 Colorful - Accent 2"/>
    <w:basedOn w:val="774"/>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46" w:customStyle="1">
    <w:name w:val="Grid Table 6 Colorful - Accent 3"/>
    <w:basedOn w:val="774"/>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47" w:customStyle="1">
    <w:name w:val="Grid Table 6 Colorful - Accent 4"/>
    <w:basedOn w:val="774"/>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48" w:customStyle="1">
    <w:name w:val="Grid Table 6 Colorful - Accent 5"/>
    <w:basedOn w:val="774"/>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49" w:customStyle="1">
    <w:name w:val="Grid Table 6 Colorful - Accent 6"/>
    <w:basedOn w:val="774"/>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50">
    <w:name w:val="Grid Table 7 Colorful"/>
    <w:basedOn w:val="774"/>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51" w:customStyle="1">
    <w:name w:val="Grid Table 7 Colorful - Accent 1"/>
    <w:basedOn w:val="774"/>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rFonts w:ascii="Arial" w:hAnsi="Arial"/>
        <w:i/>
        <w:color w:val="a0b7e1"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0B7E1" w:themeColor="accent1" w:themeTint="80" w:sz="4" w:space="0"/>
        </w:tcBorders>
      </w:tcPr>
    </w:tblStylePr>
    <w:tblStylePr w:type="firstRow">
      <w:rPr>
        <w:rFonts w:ascii="Arial" w:hAnsi="Arial"/>
        <w:b/>
        <w:color w:val="a0b7e1" w:themeColor="accent1" w:themeTint="80" w:themeShade="95"/>
        <w:sz w:val="22"/>
      </w:rPr>
      <w:tcPr>
        <w:shd w:val="clear" w:color="ffffff" w:themeColor="light1" w:fill="ffffff" w:themeFill="light1"/>
        <w:tcBorders>
          <w:top w:val="none" w:color="000000" w:sz="0" w:space="0"/>
          <w:left w:val="none" w:color="000000" w:sz="0" w:space="0"/>
          <w:bottom w:val="single" w:color="A0B7E1" w:themeColor="accent1" w:themeTint="80" w:sz="4" w:space="0"/>
          <w:right w:val="none" w:color="000000" w:sz="0" w:space="0"/>
        </w:tcBorders>
      </w:tcPr>
    </w:tblStylePr>
    <w:tblStylePr w:type="lastCol">
      <w:rPr>
        <w:rFonts w:ascii="Arial" w:hAnsi="Arial"/>
        <w:i/>
        <w:color w:val="a0b7e1" w:themeColor="accent1" w:themeTint="80" w:themeShade="95"/>
        <w:sz w:val="22"/>
      </w:rPr>
      <w:tcPr>
        <w:shd w:val="clear" w:color="ffffff" w:fill="auto"/>
        <w:tcBorders>
          <w:top w:val="none" w:color="000000" w:sz="0" w:space="0"/>
          <w:left w:val="single" w:color="A0B7E1" w:themeColor="accent1" w:themeTint="80" w:sz="4" w:space="0"/>
          <w:bottom w:val="none" w:color="000000" w:sz="0" w:space="0"/>
          <w:right w:val="none" w:color="000000" w:sz="0" w:space="0"/>
        </w:tcBorders>
      </w:tcPr>
    </w:tblStylePr>
    <w:tblStylePr w:type="lastRow">
      <w:rPr>
        <w:rFonts w:ascii="Arial" w:hAnsi="Arial"/>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0" w:space="0"/>
          <w:bottom w:val="none" w:color="000000" w:sz="0" w:space="0"/>
          <w:right w:val="none" w:color="000000" w:sz="0" w:space="0"/>
        </w:tcBorders>
      </w:tcPr>
    </w:tblStylePr>
  </w:style>
  <w:style w:type="table" w:styleId="852" w:customStyle="1">
    <w:name w:val="Grid Table 7 Colorful - Accent 2"/>
    <w:basedOn w:val="774"/>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853" w:customStyle="1">
    <w:name w:val="Grid Table 7 Colorful - Accent 3"/>
    <w:basedOn w:val="774"/>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style>
  <w:style w:type="table" w:styleId="854" w:customStyle="1">
    <w:name w:val="Grid Table 7 Colorful - Accent 4"/>
    <w:basedOn w:val="774"/>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855" w:customStyle="1">
    <w:name w:val="Grid Table 7 Colorful - Accent 5"/>
    <w:basedOn w:val="774"/>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rFonts w:ascii="Arial" w:hAnsi="Arial"/>
        <w:i/>
        <w:color w:val="245a8d" w:themeColor="accent5" w:themeShade="95"/>
        <w:sz w:val="22"/>
      </w:rPr>
      <w:pPr>
        <w:jc w:val="right"/>
      </w:pPr>
      <w:tcPr>
        <w:shd w:val="clear" w:color="ffffff" w:fill="auto"/>
        <w:tcBorders>
          <w:top w:val="none" w:color="000000" w:sz="0" w:space="0"/>
          <w:left w:val="none" w:color="000000" w:sz="0" w:space="0"/>
          <w:bottom w:val="none" w:color="000000" w:sz="0" w:space="0"/>
          <w:right w:val="single" w:color="A2C6E7" w:themeColor="accent5" w:themeTint="90" w:sz="4" w:space="0"/>
        </w:tcBorders>
      </w:tcPr>
    </w:tblStylePr>
    <w:tblStylePr w:type="firstRow">
      <w:rPr>
        <w:rFonts w:ascii="Arial" w:hAnsi="Arial"/>
        <w:b/>
        <w:color w:val="245a8d" w:themeColor="accent5" w:themeShade="95"/>
        <w:sz w:val="22"/>
      </w:rPr>
      <w:tcPr>
        <w:shd w:val="clear" w:color="ffffff" w:themeColor="light1" w:fill="ffffff" w:themeFill="light1"/>
        <w:tcBorders>
          <w:top w:val="none" w:color="000000" w:sz="0" w:space="0"/>
          <w:left w:val="none" w:color="000000" w:sz="0" w:space="0"/>
          <w:bottom w:val="single" w:color="A2C6E7" w:themeColor="accent5" w:themeTint="90" w:sz="4" w:space="0"/>
          <w:right w:val="none" w:color="000000" w:sz="0" w:space="0"/>
        </w:tcBorders>
      </w:tcPr>
    </w:tblStylePr>
    <w:tblStylePr w:type="lastCol">
      <w:rPr>
        <w:rFonts w:ascii="Arial" w:hAnsi="Arial"/>
        <w:i/>
        <w:color w:val="245a8d" w:themeColor="accent5" w:themeShade="95"/>
        <w:sz w:val="22"/>
      </w:rPr>
      <w:tcPr>
        <w:shd w:val="clear" w:color="ffffff" w:fill="auto"/>
        <w:tcBorders>
          <w:top w:val="none" w:color="000000" w:sz="0" w:space="0"/>
          <w:left w:val="single" w:color="A2C6E7" w:themeColor="accent5" w:themeTint="90" w:sz="4" w:space="0"/>
          <w:bottom w:val="none" w:color="000000" w:sz="0" w:space="0"/>
          <w:right w:val="none" w:color="000000" w:sz="0" w:space="0"/>
        </w:tcBorders>
      </w:tcPr>
    </w:tblStylePr>
    <w:tblStylePr w:type="lastRow">
      <w:rPr>
        <w:rFonts w:ascii="Arial" w:hAnsi="Arial"/>
        <w:b/>
        <w:color w:val="245a8d" w:themeColor="accent5" w:themeShade="95"/>
        <w:sz w:val="22"/>
      </w:rPr>
      <w:tcPr>
        <w:shd w:val="clear" w:color="ffffff" w:themeColor="light1" w:fill="ffffff" w:themeFill="light1"/>
        <w:tcBorders>
          <w:top w:val="single" w:color="A2C6E7" w:themeColor="accent5" w:themeTint="90" w:sz="4" w:space="0"/>
          <w:left w:val="none" w:color="000000" w:sz="0" w:space="0"/>
          <w:bottom w:val="none" w:color="000000" w:sz="0" w:space="0"/>
          <w:right w:val="none" w:color="000000" w:sz="0" w:space="0"/>
        </w:tcBorders>
      </w:tcPr>
    </w:tblStylePr>
  </w:style>
  <w:style w:type="table" w:styleId="856" w:customStyle="1">
    <w:name w:val="Grid Table 7 Colorful - Accent 6"/>
    <w:basedOn w:val="774"/>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style>
  <w:style w:type="table" w:styleId="857">
    <w:name w:val="List Table 1 Light"/>
    <w:basedOn w:val="774"/>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58" w:customStyle="1">
    <w:name w:val="List Table 1 Light - Accent 1"/>
    <w:basedOn w:val="774"/>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859" w:customStyle="1">
    <w:name w:val="List Table 1 Light - Accent 2"/>
    <w:basedOn w:val="774"/>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60" w:customStyle="1">
    <w:name w:val="List Table 1 Light - Accent 3"/>
    <w:basedOn w:val="774"/>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61" w:customStyle="1">
    <w:name w:val="List Table 1 Light - Accent 4"/>
    <w:basedOn w:val="774"/>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62" w:customStyle="1">
    <w:name w:val="List Table 1 Light - Accent 5"/>
    <w:basedOn w:val="774"/>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863" w:customStyle="1">
    <w:name w:val="List Table 1 Light - Accent 6"/>
    <w:basedOn w:val="774"/>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64">
    <w:name w:val="List Table 2"/>
    <w:basedOn w:val="774"/>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65" w:customStyle="1">
    <w:name w:val="List Table 2 - Accent 1"/>
    <w:basedOn w:val="774"/>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866" w:customStyle="1">
    <w:name w:val="List Table 2 - Accent 2"/>
    <w:basedOn w:val="774"/>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67" w:customStyle="1">
    <w:name w:val="List Table 2 - Accent 3"/>
    <w:basedOn w:val="774"/>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68" w:customStyle="1">
    <w:name w:val="List Table 2 - Accent 4"/>
    <w:basedOn w:val="774"/>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69" w:customStyle="1">
    <w:name w:val="List Table 2 - Accent 5"/>
    <w:basedOn w:val="774"/>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870" w:customStyle="1">
    <w:name w:val="List Table 2 - Accent 6"/>
    <w:basedOn w:val="774"/>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71">
    <w:name w:val="List Table 3"/>
    <w:basedOn w:val="77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72" w:customStyle="1">
    <w:name w:val="List Table 3 - Accent 1"/>
    <w:basedOn w:val="774"/>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Arial" w:hAnsi="Arial"/>
        <w:color w:val="404040"/>
        <w:sz w:val="22"/>
      </w:rPr>
      <w:tcPr>
        <w:tcBorders>
          <w:top w:val="single" w:color="4472C4" w:themeColor="accent1" w:sz="4" w:space="0"/>
          <w:bottom w:val="single" w:color="4472C4" w:themeColor="accent1" w:sz="4" w:space="0"/>
        </w:tcBorders>
      </w:tc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73" w:customStyle="1">
    <w:name w:val="List Table 3 - Accent 2"/>
    <w:basedOn w:val="774"/>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74" w:customStyle="1">
    <w:name w:val="List Table 3 - Accent 3"/>
    <w:basedOn w:val="774"/>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75" w:customStyle="1">
    <w:name w:val="List Table 3 - Accent 4"/>
    <w:basedOn w:val="774"/>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76" w:customStyle="1">
    <w:name w:val="List Table 3 - Accent 5"/>
    <w:basedOn w:val="774"/>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Arial" w:hAnsi="Arial"/>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877" w:customStyle="1">
    <w:name w:val="List Table 3 - Accent 6"/>
    <w:basedOn w:val="774"/>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78">
    <w:name w:val="List Table 4"/>
    <w:basedOn w:val="77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79" w:customStyle="1">
    <w:name w:val="List Table 4 - Accent 1"/>
    <w:basedOn w:val="774"/>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80" w:customStyle="1">
    <w:name w:val="List Table 4 - Accent 2"/>
    <w:basedOn w:val="774"/>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81" w:customStyle="1">
    <w:name w:val="List Table 4 - Accent 3"/>
    <w:basedOn w:val="774"/>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82" w:customStyle="1">
    <w:name w:val="List Table 4 - Accent 4"/>
    <w:basedOn w:val="774"/>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83" w:customStyle="1">
    <w:name w:val="List Table 4 - Accent 5"/>
    <w:basedOn w:val="774"/>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Arial" w:hAnsi="Arial"/>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884" w:customStyle="1">
    <w:name w:val="List Table 4 - Accent 6"/>
    <w:basedOn w:val="774"/>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85">
    <w:name w:val="List Table 5 Dark"/>
    <w:basedOn w:val="774"/>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86" w:customStyle="1">
    <w:name w:val="List Table 5 Dark - Accent 1"/>
    <w:basedOn w:val="774"/>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tblStylePr>
  </w:style>
  <w:style w:type="table" w:styleId="887" w:customStyle="1">
    <w:name w:val="List Table 5 Dark - Accent 2"/>
    <w:basedOn w:val="774"/>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88" w:customStyle="1">
    <w:name w:val="List Table 5 Dark - Accent 3"/>
    <w:basedOn w:val="774"/>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89" w:customStyle="1">
    <w:name w:val="List Table 5 Dark - Accent 4"/>
    <w:basedOn w:val="774"/>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90" w:customStyle="1">
    <w:name w:val="List Table 5 Dark - Accent 5"/>
    <w:basedOn w:val="774"/>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tblStylePr>
  </w:style>
  <w:style w:type="table" w:styleId="891" w:customStyle="1">
    <w:name w:val="List Table 5 Dark - Accent 6"/>
    <w:basedOn w:val="774"/>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92">
    <w:name w:val="List Table 6 Colorful"/>
    <w:basedOn w:val="774"/>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93" w:customStyle="1">
    <w:name w:val="List Table 6 Colorful - Accent 1"/>
    <w:basedOn w:val="774"/>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894" w:customStyle="1">
    <w:name w:val="List Table 6 Colorful - Accent 2"/>
    <w:basedOn w:val="774"/>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95" w:customStyle="1">
    <w:name w:val="List Table 6 Colorful - Accent 3"/>
    <w:basedOn w:val="774"/>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96" w:customStyle="1">
    <w:name w:val="List Table 6 Colorful - Accent 4"/>
    <w:basedOn w:val="774"/>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97" w:customStyle="1">
    <w:name w:val="List Table 6 Colorful - Accent 5"/>
    <w:basedOn w:val="774"/>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898" w:customStyle="1">
    <w:name w:val="List Table 6 Colorful - Accent 6"/>
    <w:basedOn w:val="774"/>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99">
    <w:name w:val="List Table 7 Colorful"/>
    <w:basedOn w:val="774"/>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900" w:customStyle="1">
    <w:name w:val="List Table 7 Colorful - Accent 1"/>
    <w:basedOn w:val="774"/>
    <w:uiPriority w:val="99"/>
    <w:pPr>
      <w:spacing w:after="0" w:line="240" w:lineRule="auto"/>
    </w:pPr>
    <w:tblPr>
      <w:tblStyleRowBandSize w:val="1"/>
      <w:tblStyleColBandSize w:val="1"/>
      <w:tblBorders>
        <w:right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rFonts w:ascii="Arial" w:hAnsi="Arial"/>
        <w:i/>
        <w:color w:val="254175" w:themeColor="accent1" w:themeShade="95"/>
        <w:sz w:val="22"/>
      </w:rPr>
      <w:pPr>
        <w:jc w:val="right"/>
      </w:pPr>
      <w:tcPr>
        <w:shd w:val="clear" w:color="ffffff" w:fill="auto"/>
        <w:tcBorders>
          <w:top w:val="none" w:color="000000" w:sz="0" w:space="0"/>
          <w:left w:val="none" w:color="000000" w:sz="0" w:space="0"/>
          <w:bottom w:val="none" w:color="000000" w:sz="0" w:space="0"/>
          <w:right w:val="single" w:color="4472C4" w:themeColor="accent1" w:sz="4" w:space="0"/>
        </w:tcBorders>
      </w:tcPr>
    </w:tblStylePr>
    <w:tblStylePr w:type="firstRow">
      <w:rPr>
        <w:rFonts w:ascii="Arial" w:hAnsi="Arial"/>
        <w:i/>
        <w:color w:val="254175" w:themeColor="accent1" w:themeShade="95"/>
        <w:sz w:val="22"/>
      </w:rPr>
      <w:tcPr>
        <w:shd w:val="clear" w:color="ffffff" w:themeColor="light1" w:fill="ffffff" w:themeFill="light1"/>
        <w:tcBorders>
          <w:top w:val="none" w:color="000000" w:sz="0" w:space="0"/>
          <w:left w:val="none" w:color="000000" w:sz="0" w:space="0"/>
          <w:bottom w:val="single" w:color="4472C4" w:themeColor="accent1" w:sz="4" w:space="0"/>
          <w:right w:val="none" w:color="000000" w:sz="0" w:space="0"/>
        </w:tcBorders>
      </w:tcPr>
    </w:tblStylePr>
    <w:tblStylePr w:type="lastCol">
      <w:rPr>
        <w:rFonts w:ascii="Arial" w:hAnsi="Arial"/>
        <w:i/>
        <w:color w:val="254175" w:themeColor="accent1" w:themeShade="95"/>
        <w:sz w:val="22"/>
      </w:rPr>
      <w:tcPr>
        <w:shd w:val="clear" w:color="ffffff" w:fill="auto"/>
        <w:tcBorders>
          <w:top w:val="none" w:color="000000" w:sz="0" w:space="0"/>
          <w:left w:val="single" w:color="4472C4" w:themeColor="accent1" w:sz="4" w:space="0"/>
          <w:bottom w:val="none" w:color="000000" w:sz="0" w:space="0"/>
          <w:right w:val="none" w:color="000000" w:sz="0" w:space="0"/>
        </w:tcBorders>
      </w:tcPr>
    </w:tblStylePr>
    <w:tblStylePr w:type="lastRow">
      <w:rPr>
        <w:rFonts w:ascii="Arial" w:hAnsi="Arial"/>
        <w:i/>
        <w:color w:val="254175" w:themeColor="accent1" w:themeShade="95"/>
        <w:sz w:val="22"/>
      </w:rPr>
      <w:tcPr>
        <w:shd w:val="clear" w:color="ffffff" w:themeColor="light1" w:fill="ffffff" w:themeFill="light1"/>
        <w:tcBorders>
          <w:top w:val="single" w:color="4472C4" w:themeColor="accent1" w:sz="4" w:space="0"/>
          <w:left w:val="none" w:color="000000" w:sz="0" w:space="0"/>
          <w:bottom w:val="none" w:color="000000" w:sz="0" w:space="0"/>
          <w:right w:val="none" w:color="000000" w:sz="0" w:space="0"/>
        </w:tcBorders>
      </w:tcPr>
    </w:tblStylePr>
  </w:style>
  <w:style w:type="table" w:styleId="901" w:customStyle="1">
    <w:name w:val="List Table 7 Colorful - Accent 2"/>
    <w:basedOn w:val="774"/>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902" w:customStyle="1">
    <w:name w:val="List Table 7 Colorful - Accent 3"/>
    <w:basedOn w:val="774"/>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style>
  <w:style w:type="table" w:styleId="903" w:customStyle="1">
    <w:name w:val="List Table 7 Colorful - Accent 4"/>
    <w:basedOn w:val="774"/>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904" w:customStyle="1">
    <w:name w:val="List Table 7 Colorful - Accent 5"/>
    <w:basedOn w:val="774"/>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rFonts w:ascii="Arial" w:hAnsi="Arial"/>
        <w:i/>
        <w:color w:val="9bc2e5"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9BC2E5" w:themeColor="accent5" w:themeTint="9A" w:sz="4" w:space="0"/>
        </w:tcBorders>
      </w:tcPr>
    </w:tblStylePr>
    <w:tblStylePr w:type="firstRow">
      <w:rPr>
        <w:rFonts w:ascii="Arial" w:hAnsi="Arial"/>
        <w:i/>
        <w:color w:val="9bc2e5" w:themeColor="accent5" w:themeTint="9A" w:themeShade="95"/>
        <w:sz w:val="22"/>
      </w:rPr>
      <w:tcPr>
        <w:shd w:val="clear" w:color="ffffff" w:themeColor="light1" w:fill="ffffff" w:themeFill="light1"/>
        <w:tcBorders>
          <w:top w:val="none" w:color="000000" w:sz="0" w:space="0"/>
          <w:left w:val="none" w:color="000000" w:sz="0" w:space="0"/>
          <w:bottom w:val="single" w:color="9BC2E5" w:themeColor="accent5" w:themeTint="9A" w:sz="4" w:space="0"/>
          <w:right w:val="none" w:color="000000" w:sz="0" w:space="0"/>
        </w:tcBorders>
      </w:tcPr>
    </w:tblStylePr>
    <w:tblStylePr w:type="lastCol">
      <w:rPr>
        <w:rFonts w:ascii="Arial" w:hAnsi="Arial"/>
        <w:i/>
        <w:color w:val="9bc2e5" w:themeColor="accent5" w:themeTint="9A" w:themeShade="95"/>
        <w:sz w:val="22"/>
      </w:rPr>
      <w:tcPr>
        <w:shd w:val="clear" w:color="ffffff" w:fill="auto"/>
        <w:tcBorders>
          <w:top w:val="none" w:color="000000" w:sz="0" w:space="0"/>
          <w:left w:val="single" w:color="9BC2E5" w:themeColor="accent5" w:themeTint="9A" w:sz="4" w:space="0"/>
          <w:bottom w:val="none" w:color="000000" w:sz="0" w:space="0"/>
          <w:right w:val="none" w:color="000000" w:sz="0" w:space="0"/>
        </w:tcBorders>
      </w:tcPr>
    </w:tblStylePr>
    <w:tblStylePr w:type="lastRow">
      <w:rPr>
        <w:rFonts w:ascii="Arial" w:hAnsi="Arial"/>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0" w:space="0"/>
          <w:bottom w:val="none" w:color="000000" w:sz="0" w:space="0"/>
          <w:right w:val="none" w:color="000000" w:sz="0" w:space="0"/>
        </w:tcBorders>
      </w:tcPr>
    </w:tblStylePr>
  </w:style>
  <w:style w:type="table" w:styleId="905" w:customStyle="1">
    <w:name w:val="List Table 7 Colorful - Accent 6"/>
    <w:basedOn w:val="774"/>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style>
  <w:style w:type="table" w:styleId="906" w:customStyle="1">
    <w:name w:val="Lined - Accent"/>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07" w:customStyle="1">
    <w:name w:val="Lined - Accent 1"/>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908" w:customStyle="1">
    <w:name w:val="Lined - Accent 2"/>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09" w:customStyle="1">
    <w:name w:val="Lined - Accent 3"/>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10" w:customStyle="1">
    <w:name w:val="Lined - Accent 4"/>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11" w:customStyle="1">
    <w:name w:val="Lined - Accent 5"/>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912" w:customStyle="1">
    <w:name w:val="Lined - Accent 6"/>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13" w:customStyle="1">
    <w:name w:val="Bordered &amp; Lined - Accent"/>
    <w:basedOn w:val="774"/>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14" w:customStyle="1">
    <w:name w:val="Bordered &amp; Lined - Accent 1"/>
    <w:basedOn w:val="774"/>
    <w:uiPriority w:val="99"/>
    <w:pPr>
      <w:spacing w:after="0" w:line="240" w:lineRule="auto"/>
    </w:pPr>
    <w:rPr>
      <w:color w:val="404040"/>
      <w:sz w:val="20"/>
      <w:szCs w:val="20"/>
      <w:lang w:eastAsia="ru-RU"/>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915" w:customStyle="1">
    <w:name w:val="Bordered &amp; Lined - Accent 2"/>
    <w:basedOn w:val="774"/>
    <w:uiPriority w:val="99"/>
    <w:pPr>
      <w:spacing w:after="0" w:line="240" w:lineRule="auto"/>
    </w:pPr>
    <w:rPr>
      <w:color w:val="404040"/>
      <w:sz w:val="20"/>
      <w:szCs w:val="20"/>
      <w:lang w:eastAsia="ru-RU"/>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16" w:customStyle="1">
    <w:name w:val="Bordered &amp; Lined - Accent 3"/>
    <w:basedOn w:val="774"/>
    <w:uiPriority w:val="99"/>
    <w:pPr>
      <w:spacing w:after="0" w:line="240" w:lineRule="auto"/>
    </w:pPr>
    <w:rPr>
      <w:color w:val="404040"/>
      <w:sz w:val="20"/>
      <w:szCs w:val="20"/>
      <w:lang w:eastAsia="ru-RU"/>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17" w:customStyle="1">
    <w:name w:val="Bordered &amp; Lined - Accent 4"/>
    <w:basedOn w:val="774"/>
    <w:uiPriority w:val="99"/>
    <w:pPr>
      <w:spacing w:after="0" w:line="240" w:lineRule="auto"/>
    </w:pPr>
    <w:rPr>
      <w:color w:val="404040"/>
      <w:sz w:val="20"/>
      <w:szCs w:val="20"/>
      <w:lang w:eastAsia="ru-RU"/>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18" w:customStyle="1">
    <w:name w:val="Bordered &amp; Lined - Accent 5"/>
    <w:basedOn w:val="774"/>
    <w:uiPriority w:val="99"/>
    <w:pPr>
      <w:spacing w:after="0" w:line="240" w:lineRule="auto"/>
    </w:pPr>
    <w:rPr>
      <w:color w:val="404040"/>
      <w:sz w:val="20"/>
      <w:szCs w:val="20"/>
      <w:lang w:eastAsia="ru-RU"/>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919" w:customStyle="1">
    <w:name w:val="Bordered &amp; Lined - Accent 6"/>
    <w:basedOn w:val="774"/>
    <w:uiPriority w:val="99"/>
    <w:pPr>
      <w:spacing w:after="0" w:line="240" w:lineRule="auto"/>
    </w:pPr>
    <w:rPr>
      <w:color w:val="404040"/>
      <w:sz w:val="20"/>
      <w:szCs w:val="20"/>
      <w:lang w:eastAsia="ru-RU"/>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20" w:customStyle="1">
    <w:name w:val="Bordered"/>
    <w:basedOn w:val="774"/>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21" w:customStyle="1">
    <w:name w:val="Bordered - Accent 1"/>
    <w:basedOn w:val="774"/>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472C4" w:themeColor="accent1" w:sz="12" w:space="0"/>
        </w:tcBorders>
      </w:tcPr>
    </w:tblStylePr>
    <w:tblStylePr w:type="lastCol">
      <w:rPr>
        <w:rFonts w:ascii="Arial" w:hAnsi="Arial"/>
        <w:color w:val="404040"/>
        <w:sz w:val="22"/>
      </w:rPr>
      <w:tcPr>
        <w:tcBorders>
          <w:left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style>
  <w:style w:type="table" w:styleId="922" w:customStyle="1">
    <w:name w:val="Bordered - Accent 2"/>
    <w:basedOn w:val="774"/>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923" w:customStyle="1">
    <w:name w:val="Bordered - Accent 3"/>
    <w:basedOn w:val="774"/>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924" w:customStyle="1">
    <w:name w:val="Bordered - Accent 4"/>
    <w:basedOn w:val="774"/>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925" w:customStyle="1">
    <w:name w:val="Bordered - Accent 5"/>
    <w:basedOn w:val="774"/>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BC2E5" w:themeColor="accent5" w:themeTint="9A" w:sz="12" w:space="0"/>
        </w:tcBorders>
      </w:tcPr>
    </w:tblStylePr>
    <w:tblStylePr w:type="lastCol">
      <w:rPr>
        <w:rFonts w:ascii="Arial" w:hAnsi="Arial"/>
        <w:color w:val="404040"/>
        <w:sz w:val="22"/>
      </w:rPr>
      <w:tcPr>
        <w:tcBorders>
          <w:left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style>
  <w:style w:type="table" w:styleId="926" w:customStyle="1">
    <w:name w:val="Bordered - Accent 6"/>
    <w:basedOn w:val="774"/>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927" w:customStyle="1">
    <w:name w:val="Footnote Text Char"/>
    <w:uiPriority w:val="99"/>
    <w:rPr>
      <w:sz w:val="18"/>
    </w:rPr>
  </w:style>
  <w:style w:type="paragraph" w:styleId="928">
    <w:name w:val="endnote text"/>
    <w:basedOn w:val="763"/>
    <w:link w:val="929"/>
    <w:uiPriority w:val="99"/>
    <w:semiHidden/>
    <w:unhideWhenUsed/>
    <w:pPr>
      <w:spacing w:after="0" w:line="240" w:lineRule="auto"/>
    </w:pPr>
    <w:rPr>
      <w:sz w:val="20"/>
    </w:rPr>
  </w:style>
  <w:style w:type="character" w:styleId="929" w:customStyle="1">
    <w:name w:val="Текст концевой сноски Знак"/>
    <w:link w:val="928"/>
    <w:uiPriority w:val="99"/>
    <w:rPr>
      <w:sz w:val="20"/>
    </w:rPr>
  </w:style>
  <w:style w:type="paragraph" w:styleId="930">
    <w:name w:val="toc 1"/>
    <w:basedOn w:val="763"/>
    <w:next w:val="763"/>
    <w:uiPriority w:val="39"/>
    <w:unhideWhenUsed/>
    <w:pPr>
      <w:spacing w:after="57"/>
    </w:pPr>
  </w:style>
  <w:style w:type="paragraph" w:styleId="931">
    <w:name w:val="toc 2"/>
    <w:basedOn w:val="763"/>
    <w:next w:val="763"/>
    <w:uiPriority w:val="39"/>
    <w:unhideWhenUsed/>
    <w:pPr>
      <w:ind w:left="283"/>
      <w:spacing w:after="57"/>
    </w:pPr>
  </w:style>
  <w:style w:type="paragraph" w:styleId="932">
    <w:name w:val="toc 3"/>
    <w:basedOn w:val="763"/>
    <w:next w:val="763"/>
    <w:uiPriority w:val="39"/>
    <w:unhideWhenUsed/>
    <w:pPr>
      <w:ind w:left="567"/>
      <w:spacing w:after="57"/>
    </w:pPr>
  </w:style>
  <w:style w:type="paragraph" w:styleId="933">
    <w:name w:val="toc 4"/>
    <w:basedOn w:val="763"/>
    <w:next w:val="763"/>
    <w:uiPriority w:val="39"/>
    <w:unhideWhenUsed/>
    <w:pPr>
      <w:ind w:left="850"/>
      <w:spacing w:after="57"/>
    </w:pPr>
  </w:style>
  <w:style w:type="paragraph" w:styleId="934">
    <w:name w:val="toc 5"/>
    <w:basedOn w:val="763"/>
    <w:next w:val="763"/>
    <w:uiPriority w:val="39"/>
    <w:unhideWhenUsed/>
    <w:pPr>
      <w:ind w:left="1134"/>
      <w:spacing w:after="57"/>
    </w:pPr>
  </w:style>
  <w:style w:type="paragraph" w:styleId="935">
    <w:name w:val="toc 6"/>
    <w:basedOn w:val="763"/>
    <w:next w:val="763"/>
    <w:uiPriority w:val="39"/>
    <w:unhideWhenUsed/>
    <w:pPr>
      <w:ind w:left="1417"/>
      <w:spacing w:after="57"/>
    </w:pPr>
  </w:style>
  <w:style w:type="paragraph" w:styleId="936">
    <w:name w:val="toc 7"/>
    <w:basedOn w:val="763"/>
    <w:next w:val="763"/>
    <w:uiPriority w:val="39"/>
    <w:unhideWhenUsed/>
    <w:pPr>
      <w:ind w:left="1701"/>
      <w:spacing w:after="57"/>
    </w:pPr>
  </w:style>
  <w:style w:type="paragraph" w:styleId="937">
    <w:name w:val="toc 8"/>
    <w:basedOn w:val="763"/>
    <w:next w:val="763"/>
    <w:uiPriority w:val="39"/>
    <w:unhideWhenUsed/>
    <w:pPr>
      <w:ind w:left="1984"/>
      <w:spacing w:after="57"/>
    </w:pPr>
  </w:style>
  <w:style w:type="paragraph" w:styleId="938">
    <w:name w:val="toc 9"/>
    <w:basedOn w:val="763"/>
    <w:next w:val="763"/>
    <w:uiPriority w:val="39"/>
    <w:unhideWhenUsed/>
    <w:pPr>
      <w:ind w:left="2268"/>
      <w:spacing w:after="57"/>
    </w:pPr>
  </w:style>
  <w:style w:type="paragraph" w:styleId="939">
    <w:name w:val="TOC Heading"/>
    <w:uiPriority w:val="39"/>
    <w:unhideWhenUsed/>
  </w:style>
  <w:style w:type="paragraph" w:styleId="940">
    <w:name w:val="table of figures"/>
    <w:basedOn w:val="763"/>
    <w:next w:val="763"/>
    <w:uiPriority w:val="99"/>
    <w:unhideWhenUsed/>
    <w:pPr>
      <w:spacing w:after="0"/>
    </w:pPr>
  </w:style>
  <w:style w:type="character" w:styleId="941" w:customStyle="1">
    <w:name w:val="Заголовок 1 Знак"/>
    <w:basedOn w:val="773"/>
    <w:link w:val="764"/>
    <w:uiPriority w:val="9"/>
    <w:rPr>
      <w:rFonts w:ascii="Times New Roman" w:hAnsi="Times New Roman" w:eastAsia="Times New Roman" w:cs="Times New Roman"/>
      <w:b/>
      <w:sz w:val="24"/>
      <w:szCs w:val="20"/>
      <w:lang w:eastAsia="ru-RU"/>
    </w:rPr>
  </w:style>
  <w:style w:type="character" w:styleId="942" w:customStyle="1">
    <w:name w:val="Заголовок 2 Знак"/>
    <w:basedOn w:val="773"/>
    <w:link w:val="765"/>
    <w:uiPriority w:val="9"/>
    <w:rPr>
      <w:rFonts w:ascii="Times New Roman" w:hAnsi="Times New Roman" w:eastAsia="Times New Roman" w:cs="Times New Roman"/>
      <w:b/>
      <w:sz w:val="28"/>
      <w:szCs w:val="20"/>
      <w:lang w:eastAsia="ru-RU"/>
    </w:rPr>
  </w:style>
  <w:style w:type="character" w:styleId="943" w:customStyle="1">
    <w:name w:val="Заголовок 3 Знак"/>
    <w:basedOn w:val="773"/>
    <w:link w:val="766"/>
    <w:rPr>
      <w:rFonts w:ascii="Arial" w:hAnsi="Arial" w:eastAsia="Times New Roman" w:cs="Times New Roman"/>
      <w:b/>
      <w:bCs/>
      <w:sz w:val="26"/>
      <w:szCs w:val="26"/>
    </w:rPr>
  </w:style>
  <w:style w:type="character" w:styleId="944" w:customStyle="1">
    <w:name w:val="Заголовок 4 Знак"/>
    <w:basedOn w:val="773"/>
    <w:link w:val="767"/>
    <w:rPr>
      <w:rFonts w:ascii="Arial" w:hAnsi="Arial" w:eastAsia="Times New Roman" w:cs="Times New Roman"/>
      <w:sz w:val="24"/>
      <w:szCs w:val="24"/>
    </w:rPr>
  </w:style>
  <w:style w:type="character" w:styleId="945" w:customStyle="1">
    <w:name w:val="Заголовок 5 Знак"/>
    <w:basedOn w:val="773"/>
    <w:link w:val="768"/>
    <w:uiPriority w:val="9"/>
    <w:semiHidden/>
    <w:rPr>
      <w:rFonts w:ascii="Cambria" w:hAnsi="Cambria" w:eastAsia="Times New Roman" w:cs="Times New Roman"/>
      <w:color w:val="243f60"/>
    </w:rPr>
  </w:style>
  <w:style w:type="character" w:styleId="946" w:customStyle="1">
    <w:name w:val="Заголовок 6 Знак"/>
    <w:basedOn w:val="773"/>
    <w:link w:val="769"/>
    <w:rPr>
      <w:rFonts w:ascii="Times New Roman" w:hAnsi="Times New Roman" w:eastAsia="Times New Roman" w:cs="Times New Roman"/>
      <w:b/>
      <w:bCs/>
    </w:rPr>
  </w:style>
  <w:style w:type="character" w:styleId="947" w:customStyle="1">
    <w:name w:val="Заголовок 7 Знак"/>
    <w:basedOn w:val="773"/>
    <w:link w:val="770"/>
    <w:rPr>
      <w:rFonts w:ascii="Times New Roman" w:hAnsi="Times New Roman" w:eastAsia="Times New Roman" w:cs="Times New Roman"/>
      <w:sz w:val="24"/>
      <w:szCs w:val="24"/>
    </w:rPr>
  </w:style>
  <w:style w:type="character" w:styleId="948" w:customStyle="1">
    <w:name w:val="Заголовок 8 Знак"/>
    <w:basedOn w:val="773"/>
    <w:link w:val="771"/>
    <w:rPr>
      <w:rFonts w:ascii="Times New Roman" w:hAnsi="Times New Roman" w:eastAsia="Times New Roman" w:cs="Times New Roman"/>
      <w:i/>
      <w:iCs/>
      <w:sz w:val="24"/>
      <w:szCs w:val="24"/>
    </w:rPr>
  </w:style>
  <w:style w:type="numbering" w:styleId="949" w:customStyle="1">
    <w:name w:val="Нет списка1"/>
    <w:next w:val="775"/>
    <w:uiPriority w:val="99"/>
    <w:semiHidden/>
    <w:unhideWhenUsed/>
  </w:style>
  <w:style w:type="paragraph" w:styleId="950">
    <w:name w:val="List Paragraph"/>
    <w:basedOn w:val="763"/>
    <w:link w:val="1113"/>
    <w:uiPriority w:val="99"/>
    <w:qFormat/>
    <w:pPr>
      <w:contextualSpacing/>
      <w:ind w:left="720"/>
      <w:spacing w:after="200" w:line="276" w:lineRule="auto"/>
    </w:pPr>
    <w:rPr>
      <w:rFonts w:ascii="Calibri" w:hAnsi="Calibri" w:eastAsia="Calibri" w:cs="Times New Roman"/>
    </w:rPr>
  </w:style>
  <w:style w:type="table" w:styleId="951">
    <w:name w:val="Table Grid"/>
    <w:basedOn w:val="774"/>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52">
    <w:name w:val="Hyperlink"/>
    <w:uiPriority w:val="99"/>
    <w:unhideWhenUsed/>
    <w:rPr>
      <w:color w:val="0000ff"/>
      <w:u w:val="single"/>
    </w:rPr>
  </w:style>
  <w:style w:type="paragraph" w:styleId="953" w:customStyle="1">
    <w:name w:val="ConsPlusNonformat"/>
    <w:pPr>
      <w:spacing w:after="0" w:line="240" w:lineRule="auto"/>
      <w:widowControl w:val="off"/>
    </w:pPr>
    <w:rPr>
      <w:rFonts w:ascii="Courier New" w:hAnsi="Courier New" w:eastAsia="Times New Roman" w:cs="Times New Roman"/>
      <w:sz w:val="20"/>
      <w:szCs w:val="20"/>
      <w:lang w:eastAsia="ru-RU"/>
    </w:rPr>
  </w:style>
  <w:style w:type="paragraph" w:styleId="954" w:customStyle="1">
    <w:name w:val="Nonformat"/>
    <w:basedOn w:val="763"/>
    <w:pPr>
      <w:spacing w:after="0" w:line="240" w:lineRule="auto"/>
    </w:pPr>
    <w:rPr>
      <w:rFonts w:ascii="Consultant" w:hAnsi="Consultant" w:eastAsia="Times New Roman" w:cs="Times New Roman"/>
      <w:sz w:val="14"/>
      <w:szCs w:val="14"/>
      <w:lang w:eastAsia="ru-RU"/>
    </w:rPr>
  </w:style>
  <w:style w:type="character" w:styleId="955" w:customStyle="1">
    <w:name w:val="apple-converted-space"/>
    <w:basedOn w:val="773"/>
  </w:style>
  <w:style w:type="paragraph" w:styleId="956">
    <w:name w:val="Header"/>
    <w:basedOn w:val="763"/>
    <w:link w:val="957"/>
    <w:uiPriority w:val="99"/>
    <w:unhideWhenUsed/>
    <w:pPr>
      <w:spacing w:after="0" w:line="240" w:lineRule="auto"/>
      <w:tabs>
        <w:tab w:val="center" w:pos="4677" w:leader="none"/>
        <w:tab w:val="right" w:pos="9355" w:leader="none"/>
      </w:tabs>
    </w:pPr>
    <w:rPr>
      <w:rFonts w:ascii="Calibri" w:hAnsi="Calibri" w:eastAsia="Calibri" w:cs="Times New Roman"/>
    </w:rPr>
  </w:style>
  <w:style w:type="character" w:styleId="957" w:customStyle="1">
    <w:name w:val="Верхний колонтитул Знак"/>
    <w:basedOn w:val="773"/>
    <w:link w:val="956"/>
    <w:uiPriority w:val="99"/>
    <w:rPr>
      <w:rFonts w:ascii="Calibri" w:hAnsi="Calibri" w:eastAsia="Calibri" w:cs="Times New Roman"/>
    </w:rPr>
  </w:style>
  <w:style w:type="paragraph" w:styleId="958">
    <w:name w:val="Footer"/>
    <w:basedOn w:val="763"/>
    <w:link w:val="959"/>
    <w:uiPriority w:val="99"/>
    <w:unhideWhenUsed/>
    <w:pPr>
      <w:spacing w:after="0" w:line="240" w:lineRule="auto"/>
      <w:tabs>
        <w:tab w:val="center" w:pos="4677" w:leader="none"/>
        <w:tab w:val="right" w:pos="9355" w:leader="none"/>
      </w:tabs>
    </w:pPr>
    <w:rPr>
      <w:rFonts w:ascii="Calibri" w:hAnsi="Calibri" w:eastAsia="Calibri" w:cs="Times New Roman"/>
    </w:rPr>
  </w:style>
  <w:style w:type="character" w:styleId="959" w:customStyle="1">
    <w:name w:val="Нижний колонтитул Знак"/>
    <w:basedOn w:val="773"/>
    <w:link w:val="958"/>
    <w:uiPriority w:val="99"/>
    <w:rPr>
      <w:rFonts w:ascii="Calibri" w:hAnsi="Calibri" w:eastAsia="Calibri" w:cs="Times New Roman"/>
    </w:rPr>
  </w:style>
  <w:style w:type="paragraph" w:styleId="960">
    <w:name w:val="No Spacing"/>
    <w:link w:val="961"/>
    <w:uiPriority w:val="1"/>
    <w:qFormat/>
    <w:pPr>
      <w:spacing w:after="0" w:line="240" w:lineRule="auto"/>
    </w:pPr>
    <w:rPr>
      <w:rFonts w:ascii="Calibri" w:hAnsi="Calibri" w:eastAsia="Times New Roman" w:cs="Times New Roman"/>
    </w:rPr>
  </w:style>
  <w:style w:type="character" w:styleId="961" w:customStyle="1">
    <w:name w:val="Без интервала Знак"/>
    <w:link w:val="960"/>
    <w:uiPriority w:val="1"/>
    <w:rPr>
      <w:rFonts w:ascii="Calibri" w:hAnsi="Calibri" w:eastAsia="Times New Roman" w:cs="Times New Roman"/>
    </w:rPr>
  </w:style>
  <w:style w:type="paragraph" w:styleId="962">
    <w:name w:val="Balloon Text"/>
    <w:basedOn w:val="763"/>
    <w:link w:val="963"/>
    <w:uiPriority w:val="99"/>
    <w:unhideWhenUsed/>
    <w:pPr>
      <w:spacing w:after="0" w:line="240" w:lineRule="auto"/>
    </w:pPr>
    <w:rPr>
      <w:rFonts w:ascii="Tahoma" w:hAnsi="Tahoma" w:eastAsia="Calibri" w:cs="Times New Roman"/>
      <w:sz w:val="16"/>
      <w:szCs w:val="16"/>
    </w:rPr>
  </w:style>
  <w:style w:type="character" w:styleId="963" w:customStyle="1">
    <w:name w:val="Текст выноски Знак"/>
    <w:basedOn w:val="773"/>
    <w:link w:val="962"/>
    <w:uiPriority w:val="99"/>
    <w:rPr>
      <w:rFonts w:ascii="Tahoma" w:hAnsi="Tahoma" w:eastAsia="Calibri" w:cs="Times New Roman"/>
      <w:sz w:val="16"/>
      <w:szCs w:val="16"/>
    </w:rPr>
  </w:style>
  <w:style w:type="paragraph" w:styleId="964" w:customStyle="1">
    <w:name w:val="Абзац списка2"/>
    <w:basedOn w:val="763"/>
    <w:pPr>
      <w:ind w:left="708"/>
      <w:spacing w:after="0" w:line="240" w:lineRule="auto"/>
    </w:pPr>
    <w:rPr>
      <w:rFonts w:ascii="Times New Roman" w:hAnsi="Times New Roman" w:eastAsia="Times New Roman" w:cs="Times New Roman"/>
      <w:sz w:val="24"/>
      <w:szCs w:val="24"/>
      <w:lang w:eastAsia="ru-RU"/>
    </w:rPr>
  </w:style>
  <w:style w:type="paragraph" w:styleId="965" w:customStyle="1">
    <w:name w:val="Знак"/>
    <w:basedOn w:val="763"/>
    <w:pPr>
      <w:spacing w:line="240" w:lineRule="exact"/>
    </w:pPr>
    <w:rPr>
      <w:rFonts w:ascii="Verdana" w:hAnsi="Verdana" w:eastAsia="Times New Roman" w:cs="Times New Roman"/>
      <w:sz w:val="20"/>
      <w:szCs w:val="20"/>
      <w:lang w:val="en-US"/>
    </w:rPr>
  </w:style>
  <w:style w:type="paragraph" w:styleId="966">
    <w:name w:val="Body Text 2"/>
    <w:basedOn w:val="763"/>
    <w:link w:val="967"/>
    <w:pPr>
      <w:jc w:val="both"/>
      <w:spacing w:before="60" w:after="0" w:line="240" w:lineRule="auto"/>
    </w:pPr>
    <w:rPr>
      <w:rFonts w:ascii="Times New Roman" w:hAnsi="Times New Roman" w:eastAsia="Times New Roman" w:cs="Times New Roman"/>
      <w:sz w:val="24"/>
      <w:szCs w:val="20"/>
    </w:rPr>
  </w:style>
  <w:style w:type="character" w:styleId="967" w:customStyle="1">
    <w:name w:val="Основной текст 2 Знак"/>
    <w:basedOn w:val="773"/>
    <w:link w:val="966"/>
    <w:rPr>
      <w:rFonts w:ascii="Times New Roman" w:hAnsi="Times New Roman" w:eastAsia="Times New Roman" w:cs="Times New Roman"/>
      <w:sz w:val="24"/>
      <w:szCs w:val="20"/>
    </w:rPr>
  </w:style>
  <w:style w:type="paragraph" w:styleId="968" w:customStyle="1">
    <w:name w:val="ConsNormal"/>
    <w:link w:val="973"/>
    <w:pPr>
      <w:ind w:right="19772" w:firstLine="720"/>
      <w:spacing w:after="0" w:line="240" w:lineRule="auto"/>
    </w:pPr>
    <w:rPr>
      <w:rFonts w:ascii="Arial" w:hAnsi="Arial" w:eastAsia="Times New Roman" w:cs="Arial"/>
      <w:sz w:val="20"/>
      <w:szCs w:val="20"/>
      <w:lang w:eastAsia="ru-RU"/>
    </w:rPr>
  </w:style>
  <w:style w:type="paragraph" w:styleId="969" w:customStyle="1">
    <w:name w:val="ConsNonformat"/>
    <w:pPr>
      <w:ind w:right="19772"/>
      <w:spacing w:after="0" w:line="240" w:lineRule="auto"/>
    </w:pPr>
    <w:rPr>
      <w:rFonts w:ascii="Courier New" w:hAnsi="Courier New" w:eastAsia="Times New Roman" w:cs="Courier New"/>
      <w:sz w:val="20"/>
      <w:szCs w:val="20"/>
      <w:lang w:eastAsia="ru-RU"/>
    </w:rPr>
  </w:style>
  <w:style w:type="paragraph" w:styleId="970">
    <w:name w:val="Body Text Indent"/>
    <w:basedOn w:val="763"/>
    <w:link w:val="971"/>
    <w:pPr>
      <w:ind w:firstLine="485"/>
      <w:jc w:val="both"/>
      <w:spacing w:after="0" w:line="240" w:lineRule="auto"/>
      <w:widowControl w:val="off"/>
    </w:pPr>
    <w:rPr>
      <w:rFonts w:ascii="Times New Roman" w:hAnsi="Times New Roman" w:eastAsia="Times New Roman" w:cs="Times New Roman"/>
      <w:sz w:val="20"/>
      <w:szCs w:val="20"/>
    </w:rPr>
  </w:style>
  <w:style w:type="character" w:styleId="971" w:customStyle="1">
    <w:name w:val="Основной текст с отступом Знак"/>
    <w:basedOn w:val="773"/>
    <w:link w:val="970"/>
    <w:rPr>
      <w:rFonts w:ascii="Times New Roman" w:hAnsi="Times New Roman" w:eastAsia="Times New Roman" w:cs="Times New Roman"/>
      <w:sz w:val="20"/>
      <w:szCs w:val="20"/>
    </w:rPr>
  </w:style>
  <w:style w:type="paragraph" w:styleId="972" w:customStyle="1">
    <w:name w:val="ConsPlusNormal"/>
    <w:link w:val="974"/>
    <w:uiPriority w:val="99"/>
    <w:pPr>
      <w:ind w:firstLine="720"/>
      <w:spacing w:after="0" w:line="240" w:lineRule="auto"/>
    </w:pPr>
    <w:rPr>
      <w:rFonts w:ascii="Arial" w:hAnsi="Arial" w:eastAsia="Times New Roman" w:cs="Arial"/>
      <w:sz w:val="20"/>
      <w:szCs w:val="20"/>
      <w:lang w:eastAsia="ru-RU"/>
    </w:rPr>
  </w:style>
  <w:style w:type="character" w:styleId="973" w:customStyle="1">
    <w:name w:val="ConsNormal Знак"/>
    <w:link w:val="968"/>
    <w:rPr>
      <w:rFonts w:ascii="Arial" w:hAnsi="Arial" w:eastAsia="Times New Roman" w:cs="Arial"/>
      <w:sz w:val="20"/>
      <w:szCs w:val="20"/>
      <w:lang w:eastAsia="ru-RU"/>
    </w:rPr>
  </w:style>
  <w:style w:type="character" w:styleId="974" w:customStyle="1">
    <w:name w:val="ConsPlusNormal Знак"/>
    <w:link w:val="972"/>
    <w:uiPriority w:val="99"/>
    <w:rPr>
      <w:rFonts w:ascii="Arial" w:hAnsi="Arial" w:eastAsia="Times New Roman" w:cs="Arial"/>
      <w:sz w:val="20"/>
      <w:szCs w:val="20"/>
      <w:lang w:eastAsia="ru-RU"/>
    </w:rPr>
  </w:style>
  <w:style w:type="paragraph" w:styleId="975">
    <w:name w:val="Body Text Indent 2"/>
    <w:basedOn w:val="763"/>
    <w:link w:val="976"/>
    <w:unhideWhenUsed/>
    <w:pPr>
      <w:ind w:left="283"/>
      <w:spacing w:after="120" w:line="480" w:lineRule="auto"/>
    </w:pPr>
    <w:rPr>
      <w:rFonts w:ascii="Calibri" w:hAnsi="Calibri" w:eastAsia="Calibri" w:cs="Times New Roman"/>
    </w:rPr>
  </w:style>
  <w:style w:type="character" w:styleId="976" w:customStyle="1">
    <w:name w:val="Основной текст с отступом 2 Знак"/>
    <w:basedOn w:val="773"/>
    <w:link w:val="975"/>
    <w:rPr>
      <w:rFonts w:ascii="Calibri" w:hAnsi="Calibri" w:eastAsia="Calibri" w:cs="Times New Roman"/>
    </w:rPr>
  </w:style>
  <w:style w:type="paragraph" w:styleId="977" w:customStyle="1">
    <w:name w:val="s_1"/>
    <w:basedOn w:val="763"/>
    <w:qFormat/>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978" w:customStyle="1">
    <w:name w:val="Сетка таблицы1"/>
    <w:basedOn w:val="774"/>
    <w:next w:val="951"/>
    <w:uiPriority w:val="9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79" w:customStyle="1">
    <w:name w:val="Обычный (веб) Знак Знак"/>
    <w:basedOn w:val="763"/>
    <w:next w:val="1115"/>
    <w:link w:val="980"/>
    <w:uiPriority w:val="99"/>
    <w:qFormat/>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980" w:customStyle="1">
    <w:name w:val="Обычный (веб) Знак"/>
    <w:link w:val="979"/>
    <w:rPr>
      <w:rFonts w:ascii="Times New Roman" w:hAnsi="Times New Roman" w:eastAsia="Times New Roman"/>
      <w:sz w:val="24"/>
      <w:szCs w:val="24"/>
    </w:rPr>
  </w:style>
  <w:style w:type="paragraph" w:styleId="981" w:customStyle="1">
    <w:name w:val="Знак1 Знак Знак Знак Знак Знак Знак"/>
    <w:basedOn w:val="763"/>
    <w:uiPriority w:val="99"/>
    <w:pPr>
      <w:spacing w:line="240" w:lineRule="exact"/>
    </w:pPr>
    <w:rPr>
      <w:rFonts w:ascii="Verdana" w:hAnsi="Verdana" w:eastAsia="Times New Roman" w:cs="Verdana"/>
      <w:sz w:val="20"/>
      <w:szCs w:val="20"/>
      <w:lang w:val="en-US"/>
    </w:rPr>
  </w:style>
  <w:style w:type="character" w:styleId="982" w:customStyle="1">
    <w:name w:val="Неразрешенное упоминание1"/>
    <w:uiPriority w:val="99"/>
    <w:semiHidden/>
    <w:unhideWhenUsed/>
    <w:rPr>
      <w:color w:val="605e5c"/>
      <w:shd w:val="clear" w:color="auto" w:fill="e1dfdd"/>
    </w:rPr>
  </w:style>
  <w:style w:type="numbering" w:styleId="983" w:customStyle="1">
    <w:name w:val="Нет списка11"/>
    <w:next w:val="775"/>
    <w:uiPriority w:val="99"/>
    <w:semiHidden/>
    <w:unhideWhenUsed/>
  </w:style>
  <w:style w:type="numbering" w:styleId="984" w:customStyle="1">
    <w:name w:val="Нет списка111"/>
    <w:next w:val="775"/>
    <w:uiPriority w:val="99"/>
    <w:semiHidden/>
    <w:unhideWhenUsed/>
  </w:style>
  <w:style w:type="paragraph" w:styleId="985">
    <w:name w:val="Body Text 3"/>
    <w:basedOn w:val="763"/>
    <w:link w:val="986"/>
    <w:unhideWhenUsed/>
    <w:pPr>
      <w:spacing w:after="0" w:line="240" w:lineRule="auto"/>
      <w:tabs>
        <w:tab w:val="left" w:pos="0" w:leader="none"/>
        <w:tab w:val="left" w:pos="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pPr>
    <w:rPr>
      <w:rFonts w:ascii="Times New Roman" w:hAnsi="Times New Roman" w:eastAsia="Times New Roman" w:cs="Times New Roman"/>
      <w:iCs/>
      <w:color w:val="000000"/>
      <w:sz w:val="24"/>
      <w:szCs w:val="20"/>
      <w:lang w:eastAsia="ru-RU"/>
    </w:rPr>
  </w:style>
  <w:style w:type="character" w:styleId="986" w:customStyle="1">
    <w:name w:val="Основной текст 3 Знак"/>
    <w:basedOn w:val="773"/>
    <w:link w:val="985"/>
    <w:rPr>
      <w:rFonts w:ascii="Times New Roman" w:hAnsi="Times New Roman" w:eastAsia="Times New Roman" w:cs="Times New Roman"/>
      <w:iCs/>
      <w:color w:val="000000"/>
      <w:sz w:val="24"/>
      <w:szCs w:val="20"/>
      <w:lang w:eastAsia="ru-RU"/>
    </w:rPr>
  </w:style>
  <w:style w:type="paragraph" w:styleId="987">
    <w:name w:val="Body Text Indent 3"/>
    <w:basedOn w:val="763"/>
    <w:link w:val="988"/>
    <w:unhideWhenUsed/>
    <w:pPr>
      <w:ind w:left="283"/>
      <w:spacing w:after="120" w:line="240" w:lineRule="auto"/>
    </w:pPr>
    <w:rPr>
      <w:rFonts w:ascii="Times New Roman" w:hAnsi="Times New Roman" w:eastAsia="Times New Roman" w:cs="Times New Roman"/>
      <w:sz w:val="16"/>
      <w:szCs w:val="16"/>
      <w:lang w:eastAsia="ru-RU"/>
    </w:rPr>
  </w:style>
  <w:style w:type="character" w:styleId="988" w:customStyle="1">
    <w:name w:val="Основной текст с отступом 3 Знак"/>
    <w:basedOn w:val="773"/>
    <w:link w:val="987"/>
    <w:rPr>
      <w:rFonts w:ascii="Times New Roman" w:hAnsi="Times New Roman" w:eastAsia="Times New Roman" w:cs="Times New Roman"/>
      <w:sz w:val="16"/>
      <w:szCs w:val="16"/>
      <w:lang w:eastAsia="ru-RU"/>
    </w:rPr>
  </w:style>
  <w:style w:type="character" w:styleId="989" w:customStyle="1">
    <w:name w:val="Стиль3 Знак"/>
    <w:link w:val="990"/>
    <w:rPr>
      <w:sz w:val="24"/>
    </w:rPr>
  </w:style>
  <w:style w:type="paragraph" w:styleId="990" w:customStyle="1">
    <w:name w:val="Стиль3"/>
    <w:basedOn w:val="975"/>
    <w:link w:val="989"/>
    <w:pPr>
      <w:numPr>
        <w:ilvl w:val="2"/>
        <w:numId w:val="1"/>
      </w:numPr>
      <w:ind w:left="742"/>
      <w:jc w:val="both"/>
      <w:spacing w:after="0" w:line="240" w:lineRule="auto"/>
      <w:widowControl w:val="off"/>
      <w:tabs>
        <w:tab w:val="num" w:pos="360" w:leader="none"/>
        <w:tab w:val="clear" w:pos="1307" w:leader="none"/>
      </w:tabs>
    </w:pPr>
    <w:rPr>
      <w:rFonts w:asciiTheme="minorHAnsi" w:hAnsiTheme="minorHAnsi" w:eastAsiaTheme="minorHAnsi" w:cstheme="minorBidi"/>
      <w:sz w:val="24"/>
    </w:rPr>
  </w:style>
  <w:style w:type="paragraph" w:styleId="991" w:customStyle="1">
    <w:name w:val="Уровень 2"/>
    <w:basedOn w:val="763"/>
    <w:pPr>
      <w:numPr>
        <w:ilvl w:val="1"/>
        <w:numId w:val="2"/>
      </w:numPr>
      <w:jc w:val="both"/>
      <w:spacing w:before="120" w:after="0" w:line="240" w:lineRule="auto"/>
      <w:tabs>
        <w:tab w:val="num" w:pos="0" w:leader="none"/>
        <w:tab w:val="clear" w:pos="360" w:leader="none"/>
        <w:tab w:val="left" w:pos="720" w:leader="none"/>
        <w:tab w:val="left" w:pos="1080" w:leader="none"/>
      </w:tabs>
      <w:outlineLvl w:val="2"/>
    </w:pPr>
    <w:rPr>
      <w:rFonts w:ascii="Times New Roman" w:hAnsi="Times New Roman" w:eastAsia="Times New Roman" w:cs="Times New Roman"/>
      <w:b/>
      <w:sz w:val="24"/>
      <w:szCs w:val="24"/>
      <w:lang w:eastAsia="ru-RU"/>
    </w:rPr>
  </w:style>
  <w:style w:type="character" w:styleId="992" w:customStyle="1">
    <w:name w:val="grame"/>
  </w:style>
  <w:style w:type="paragraph" w:styleId="993">
    <w:name w:val="Body Text"/>
    <w:basedOn w:val="763"/>
    <w:link w:val="994"/>
    <w:pPr>
      <w:spacing w:after="120" w:line="240" w:lineRule="auto"/>
    </w:pPr>
    <w:rPr>
      <w:rFonts w:ascii="Times New Roman" w:hAnsi="Times New Roman" w:eastAsia="Times New Roman" w:cs="Times New Roman"/>
      <w:sz w:val="20"/>
      <w:szCs w:val="20"/>
      <w:lang w:eastAsia="ru-RU"/>
    </w:rPr>
  </w:style>
  <w:style w:type="character" w:styleId="994" w:customStyle="1">
    <w:name w:val="Основной текст Знак"/>
    <w:basedOn w:val="773"/>
    <w:link w:val="993"/>
    <w:rPr>
      <w:rFonts w:ascii="Times New Roman" w:hAnsi="Times New Roman" w:eastAsia="Times New Roman" w:cs="Times New Roman"/>
      <w:sz w:val="20"/>
      <w:szCs w:val="20"/>
      <w:lang w:eastAsia="ru-RU"/>
    </w:rPr>
  </w:style>
  <w:style w:type="paragraph" w:styleId="995">
    <w:name w:val="HTML Preformatted"/>
    <w:basedOn w:val="763"/>
    <w:link w:val="996"/>
    <w:pPr>
      <w:spacing w:after="0"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s="Times New Roman"/>
      <w:sz w:val="20"/>
      <w:szCs w:val="20"/>
    </w:rPr>
  </w:style>
  <w:style w:type="character" w:styleId="996" w:customStyle="1">
    <w:name w:val="Стандартный HTML Знак"/>
    <w:basedOn w:val="773"/>
    <w:link w:val="995"/>
    <w:rPr>
      <w:rFonts w:ascii="Courier New" w:hAnsi="Courier New" w:eastAsia="Courier New" w:cs="Times New Roman"/>
      <w:sz w:val="20"/>
      <w:szCs w:val="20"/>
    </w:rPr>
  </w:style>
  <w:style w:type="paragraph" w:styleId="997">
    <w:name w:val="footnote text"/>
    <w:basedOn w:val="763"/>
    <w:link w:val="998"/>
    <w:uiPriority w:val="99"/>
    <w:pPr>
      <w:spacing w:after="0" w:line="240" w:lineRule="auto"/>
    </w:pPr>
    <w:rPr>
      <w:rFonts w:ascii="Times New Roman" w:hAnsi="Times New Roman" w:eastAsia="Times New Roman" w:cs="Times New Roman"/>
      <w:sz w:val="20"/>
      <w:szCs w:val="20"/>
      <w:lang w:eastAsia="ru-RU"/>
    </w:rPr>
  </w:style>
  <w:style w:type="character" w:styleId="998" w:customStyle="1">
    <w:name w:val="Текст сноски Знак"/>
    <w:basedOn w:val="773"/>
    <w:link w:val="997"/>
    <w:uiPriority w:val="99"/>
    <w:rPr>
      <w:rFonts w:ascii="Times New Roman" w:hAnsi="Times New Roman" w:eastAsia="Times New Roman" w:cs="Times New Roman"/>
      <w:sz w:val="20"/>
      <w:szCs w:val="20"/>
      <w:lang w:eastAsia="ru-RU"/>
    </w:rPr>
  </w:style>
  <w:style w:type="character" w:styleId="999" w:customStyle="1">
    <w:name w:val="Текст примечания Знак"/>
    <w:link w:val="1000"/>
  </w:style>
  <w:style w:type="paragraph" w:styleId="1000">
    <w:name w:val="annotation text"/>
    <w:basedOn w:val="763"/>
    <w:link w:val="999"/>
    <w:pPr>
      <w:spacing w:after="0" w:line="240" w:lineRule="auto"/>
    </w:pPr>
  </w:style>
  <w:style w:type="character" w:styleId="1001" w:customStyle="1">
    <w:name w:val="Текст примечания Знак1"/>
    <w:basedOn w:val="773"/>
    <w:uiPriority w:val="99"/>
    <w:rPr>
      <w:sz w:val="20"/>
      <w:szCs w:val="20"/>
    </w:rPr>
  </w:style>
  <w:style w:type="character" w:styleId="1002" w:customStyle="1">
    <w:name w:val="Тема примечания Знак"/>
    <w:link w:val="1003"/>
    <w:rPr>
      <w:b/>
      <w:bCs/>
    </w:rPr>
  </w:style>
  <w:style w:type="paragraph" w:styleId="1003">
    <w:name w:val="annotation subject"/>
    <w:basedOn w:val="1000"/>
    <w:next w:val="1000"/>
    <w:link w:val="1002"/>
    <w:rPr>
      <w:b/>
      <w:bCs/>
    </w:rPr>
  </w:style>
  <w:style w:type="character" w:styleId="1004" w:customStyle="1">
    <w:name w:val="Тема примечания Знак1"/>
    <w:basedOn w:val="1001"/>
    <w:uiPriority w:val="99"/>
    <w:rPr>
      <w:b/>
      <w:bCs/>
      <w:sz w:val="20"/>
      <w:szCs w:val="20"/>
    </w:rPr>
  </w:style>
  <w:style w:type="paragraph" w:styleId="1005" w:customStyle="1">
    <w:name w:val="Îñíîâí"/>
    <w:basedOn w:val="763"/>
    <w:pPr>
      <w:jc w:val="both"/>
      <w:spacing w:after="0" w:line="240" w:lineRule="auto"/>
      <w:widowControl w:val="off"/>
    </w:pPr>
    <w:rPr>
      <w:rFonts w:ascii="Arial" w:hAnsi="Arial" w:eastAsia="Times New Roman" w:cs="Arial"/>
      <w:szCs w:val="20"/>
      <w:lang w:eastAsia="ru-RU"/>
    </w:rPr>
  </w:style>
  <w:style w:type="paragraph" w:styleId="1006" w:customStyle="1">
    <w:name w:val="Обычный1"/>
    <w:pPr>
      <w:ind w:left="280"/>
      <w:spacing w:after="0" w:line="278" w:lineRule="auto"/>
      <w:widowControl w:val="off"/>
    </w:pPr>
    <w:rPr>
      <w:rFonts w:ascii="Times New Roman" w:hAnsi="Times New Roman" w:eastAsia="Times New Roman" w:cs="Times New Roman"/>
      <w:sz w:val="20"/>
      <w:szCs w:val="20"/>
      <w:lang w:eastAsia="ru-RU"/>
    </w:rPr>
  </w:style>
  <w:style w:type="paragraph" w:styleId="1007" w:customStyle="1">
    <w:name w:val="Основной текст 21"/>
    <w:basedOn w:val="763"/>
    <w:pPr>
      <w:ind w:firstLine="851"/>
      <w:jc w:val="both"/>
      <w:spacing w:before="120" w:after="120" w:line="240" w:lineRule="auto"/>
      <w:widowControl w:val="off"/>
    </w:pPr>
    <w:rPr>
      <w:rFonts w:ascii="Times New Roman" w:hAnsi="Times New Roman" w:eastAsia="Times New Roman" w:cs="Times New Roman"/>
      <w:sz w:val="24"/>
      <w:szCs w:val="20"/>
      <w:lang w:eastAsia="ru-RU"/>
    </w:rPr>
  </w:style>
  <w:style w:type="paragraph" w:styleId="1008" w:customStyle="1">
    <w:name w:val="j0eбычный"/>
    <w:pPr>
      <w:spacing w:after="0" w:line="240" w:lineRule="auto"/>
      <w:widowControl w:val="off"/>
    </w:pPr>
    <w:rPr>
      <w:rFonts w:ascii="Times New Roman" w:hAnsi="Times New Roman" w:eastAsia="Times New Roman" w:cs="Times New Roman"/>
      <w:sz w:val="20"/>
      <w:szCs w:val="20"/>
      <w:lang w:eastAsia="ru-RU"/>
    </w:rPr>
  </w:style>
  <w:style w:type="paragraph" w:styleId="1009" w:customStyle="1">
    <w:name w:val="Oaeno"/>
    <w:basedOn w:val="763"/>
    <w:pPr>
      <w:spacing w:after="0" w:line="240" w:lineRule="auto"/>
    </w:pPr>
    <w:rPr>
      <w:rFonts w:ascii="Courier New" w:hAnsi="Courier New" w:eastAsia="Arial" w:cs="Times New Roman"/>
      <w:sz w:val="20"/>
      <w:szCs w:val="20"/>
      <w:lang w:eastAsia="ar-SA"/>
    </w:rPr>
  </w:style>
  <w:style w:type="paragraph" w:styleId="1010">
    <w:name w:val="Revision"/>
    <w:uiPriority w:val="99"/>
    <w:semiHidden/>
    <w:pPr>
      <w:spacing w:after="0" w:line="240" w:lineRule="auto"/>
    </w:pPr>
    <w:rPr>
      <w:rFonts w:ascii="Times New Roman" w:hAnsi="Times New Roman" w:eastAsia="Times New Roman" w:cs="Times New Roman"/>
      <w:sz w:val="24"/>
      <w:szCs w:val="24"/>
      <w:lang w:eastAsia="ru-RU"/>
    </w:rPr>
  </w:style>
  <w:style w:type="paragraph" w:styleId="1011" w:customStyle="1">
    <w:name w:val="Содержимое таблицы"/>
    <w:basedOn w:val="993"/>
    <w:pPr>
      <w:spacing w:after="0"/>
      <w:suppressLineNumbers/>
    </w:pPr>
    <w:rPr>
      <w:b/>
      <w:sz w:val="24"/>
    </w:rPr>
  </w:style>
  <w:style w:type="paragraph" w:styleId="1012" w:customStyle="1">
    <w:name w:val="WW-Основной текст 2"/>
    <w:basedOn w:val="763"/>
    <w:pPr>
      <w:ind w:right="-1"/>
      <w:jc w:val="both"/>
      <w:spacing w:after="0" w:line="240" w:lineRule="auto"/>
      <w:widowControl w:val="off"/>
    </w:pPr>
    <w:rPr>
      <w:rFonts w:ascii="Times New Roman" w:hAnsi="Times New Roman" w:eastAsia="Times New Roman" w:cs="Times New Roman"/>
      <w:sz w:val="20"/>
      <w:szCs w:val="20"/>
      <w:lang w:eastAsia="ru-RU"/>
    </w:rPr>
  </w:style>
  <w:style w:type="paragraph" w:styleId="1013" w:customStyle="1">
    <w:name w:val="Основной текст с отступом 21"/>
    <w:basedOn w:val="763"/>
    <w:pPr>
      <w:ind w:firstLine="567"/>
      <w:jc w:val="both"/>
      <w:spacing w:after="0" w:line="240" w:lineRule="auto"/>
      <w:widowControl w:val="off"/>
    </w:pPr>
    <w:rPr>
      <w:rFonts w:ascii="Courier New" w:hAnsi="Courier New" w:eastAsia="Times New Roman" w:cs="Times New Roman"/>
      <w:szCs w:val="20"/>
      <w:lang w:eastAsia="ru-RU"/>
    </w:rPr>
  </w:style>
  <w:style w:type="paragraph" w:styleId="1014" w:customStyle="1">
    <w:name w:val="Основной текст с отступом 31"/>
    <w:basedOn w:val="763"/>
    <w:pPr>
      <w:ind w:firstLine="567"/>
      <w:jc w:val="both"/>
      <w:spacing w:after="0" w:line="240" w:lineRule="auto"/>
    </w:pPr>
    <w:rPr>
      <w:rFonts w:ascii="Times New Roman" w:hAnsi="Times New Roman" w:eastAsia="Times New Roman" w:cs="Times New Roman"/>
      <w:color w:val="000000"/>
      <w:szCs w:val="20"/>
      <w:lang w:eastAsia="ru-RU"/>
    </w:rPr>
  </w:style>
  <w:style w:type="character" w:styleId="1015">
    <w:name w:val="footnote reference"/>
    <w:rPr>
      <w:vertAlign w:val="superscript"/>
    </w:rPr>
  </w:style>
  <w:style w:type="character" w:styleId="1016">
    <w:name w:val="annotation reference"/>
    <w:rPr>
      <w:sz w:val="16"/>
      <w:szCs w:val="16"/>
    </w:rPr>
  </w:style>
  <w:style w:type="character" w:styleId="1017" w:customStyle="1">
    <w:name w:val="WW-WW8Num4z0"/>
    <w:rPr>
      <w:rFonts w:hint="default" w:ascii="Times New Roman" w:hAnsi="Times New Roman" w:eastAsia="Times New Roman" w:cs="Times New Roman"/>
    </w:rPr>
  </w:style>
  <w:style w:type="table" w:styleId="1018" w:customStyle="1">
    <w:name w:val="Сетка таблицы2"/>
    <w:basedOn w:val="774"/>
    <w:next w:val="951"/>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19">
    <w:name w:val="Outline List 2"/>
    <w:basedOn w:val="775"/>
    <w:pPr>
      <w:numPr>
        <w:ilvl w:val="0"/>
        <w:numId w:val="3"/>
      </w:numPr>
    </w:pPr>
  </w:style>
  <w:style w:type="numbering" w:styleId="1020" w:customStyle="1">
    <w:name w:val="Текущий список1"/>
    <w:pPr>
      <w:numPr>
        <w:ilvl w:val="0"/>
        <w:numId w:val="4"/>
      </w:numPr>
    </w:pPr>
  </w:style>
  <w:style w:type="paragraph" w:styleId="1021" w:customStyle="1">
    <w:name w:val="Char Char"/>
    <w:basedOn w:val="763"/>
    <w:semiHidden/>
    <w:pPr>
      <w:jc w:val="both"/>
      <w:spacing w:before="100" w:beforeAutospacing="1" w:after="100" w:afterAutospacing="1" w:line="240" w:lineRule="auto"/>
    </w:pPr>
    <w:rPr>
      <w:rFonts w:ascii="Tahoma" w:hAnsi="Tahoma" w:eastAsia="Times New Roman" w:cs="Times New Roman"/>
      <w:sz w:val="20"/>
      <w:szCs w:val="20"/>
      <w:lang w:val="en-US"/>
    </w:rPr>
  </w:style>
  <w:style w:type="character" w:styleId="1022">
    <w:name w:val="page number"/>
  </w:style>
  <w:style w:type="paragraph" w:styleId="1023" w:customStyle="1">
    <w:name w:val="Тема примечания1"/>
    <w:basedOn w:val="1000"/>
    <w:next w:val="1000"/>
    <w:semiHidden/>
    <w:rPr>
      <w:rFonts w:ascii="Arial" w:hAnsi="Arial"/>
      <w:b/>
      <w:bCs/>
    </w:rPr>
  </w:style>
  <w:style w:type="paragraph" w:styleId="1024" w:customStyle="1">
    <w:name w:val="Standard"/>
    <w:pPr>
      <w:spacing w:after="0" w:line="240" w:lineRule="auto"/>
    </w:pPr>
    <w:rPr>
      <w:rFonts w:ascii="Times New Roman" w:hAnsi="Times New Roman" w:eastAsia="Times New Roman" w:cs="Times New Roman"/>
      <w:sz w:val="24"/>
      <w:szCs w:val="24"/>
      <w:lang w:eastAsia="ru-RU"/>
    </w:rPr>
  </w:style>
  <w:style w:type="character" w:styleId="1025" w:customStyle="1">
    <w:name w:val="Font Style15"/>
    <w:rPr>
      <w:rFonts w:ascii="Times New Roman" w:hAnsi="Times New Roman" w:cs="Times New Roman"/>
      <w:sz w:val="22"/>
      <w:szCs w:val="22"/>
    </w:rPr>
  </w:style>
  <w:style w:type="paragraph" w:styleId="1026" w:customStyle="1">
    <w:name w:val="Основной текст2"/>
    <w:basedOn w:val="763"/>
    <w:pPr>
      <w:spacing w:after="0" w:line="230" w:lineRule="exact"/>
      <w:shd w:val="clear" w:color="auto" w:fill="ffffff"/>
      <w:widowControl w:val="off"/>
    </w:pPr>
    <w:rPr>
      <w:rFonts w:ascii="Bookman Old Style" w:hAnsi="Bookman Old Style" w:eastAsia="Bookman Old Style" w:cs="Bookman Old Style"/>
      <w:color w:val="000000"/>
      <w:sz w:val="19"/>
      <w:szCs w:val="19"/>
      <w:lang w:eastAsia="ru-RU"/>
    </w:rPr>
  </w:style>
  <w:style w:type="paragraph" w:styleId="1027" w:customStyle="1">
    <w:name w:val="1 Знак"/>
    <w:basedOn w:val="763"/>
    <w:pPr>
      <w:spacing w:before="100" w:beforeAutospacing="1" w:after="100" w:afterAutospacing="1" w:line="240" w:lineRule="auto"/>
    </w:pPr>
    <w:rPr>
      <w:rFonts w:ascii="Tahoma" w:hAnsi="Tahoma" w:eastAsia="Times New Roman" w:cs="Times New Roman"/>
      <w:sz w:val="20"/>
      <w:szCs w:val="20"/>
      <w:lang w:val="en-US"/>
    </w:rPr>
  </w:style>
  <w:style w:type="character" w:styleId="1028" w:customStyle="1">
    <w:name w:val="Основной текст 3 Знак1"/>
    <w:rPr>
      <w:rFonts w:ascii="Times New Roman" w:hAnsi="Times New Roman" w:eastAsia="Times New Roman" w:cs="Times New Roman"/>
      <w:sz w:val="16"/>
      <w:szCs w:val="16"/>
      <w:lang w:eastAsia="ru-RU"/>
    </w:rPr>
  </w:style>
  <w:style w:type="character" w:styleId="1029">
    <w:name w:val="endnote reference"/>
    <w:uiPriority w:val="99"/>
    <w:unhideWhenUsed/>
    <w:rPr>
      <w:vertAlign w:val="superscript"/>
    </w:rPr>
  </w:style>
  <w:style w:type="character" w:styleId="1030" w:customStyle="1">
    <w:name w:val="Основной текст_"/>
    <w:link w:val="1034"/>
    <w:rPr>
      <w:sz w:val="25"/>
      <w:szCs w:val="25"/>
      <w:shd w:val="clear" w:color="auto" w:fill="ffffff"/>
    </w:rPr>
  </w:style>
  <w:style w:type="character" w:styleId="1031" w:customStyle="1">
    <w:name w:val="Основной текст + 11;5 pt"/>
    <w:rPr>
      <w:color w:val="000000"/>
      <w:spacing w:val="0"/>
      <w:position w:val="0"/>
      <w:sz w:val="23"/>
      <w:szCs w:val="23"/>
      <w:shd w:val="clear" w:color="auto" w:fill="ffffff"/>
      <w:lang w:val="ru-RU"/>
    </w:rPr>
  </w:style>
  <w:style w:type="character" w:styleId="1032" w:customStyle="1">
    <w:name w:val="Основной текст (2)_"/>
    <w:link w:val="1035"/>
    <w:rPr>
      <w:b/>
      <w:bCs/>
      <w:sz w:val="25"/>
      <w:szCs w:val="25"/>
      <w:shd w:val="clear" w:color="auto" w:fill="ffffff"/>
    </w:rPr>
  </w:style>
  <w:style w:type="character" w:styleId="1033" w:customStyle="1">
    <w:name w:val="Основной текст + Курсив"/>
    <w:rPr>
      <w:i/>
      <w:iCs/>
      <w:color w:val="000000"/>
      <w:spacing w:val="0"/>
      <w:position w:val="0"/>
      <w:sz w:val="25"/>
      <w:szCs w:val="25"/>
      <w:shd w:val="clear" w:color="auto" w:fill="ffffff"/>
      <w:lang w:val="ru-RU"/>
    </w:rPr>
  </w:style>
  <w:style w:type="paragraph" w:styleId="1034" w:customStyle="1">
    <w:name w:val="Основной текст1"/>
    <w:basedOn w:val="763"/>
    <w:link w:val="1030"/>
    <w:pPr>
      <w:ind w:hanging="1320"/>
      <w:jc w:val="right"/>
      <w:spacing w:after="0" w:line="298" w:lineRule="exact"/>
      <w:shd w:val="clear" w:color="auto" w:fill="ffffff"/>
      <w:widowControl w:val="off"/>
    </w:pPr>
    <w:rPr>
      <w:sz w:val="25"/>
      <w:szCs w:val="25"/>
    </w:rPr>
  </w:style>
  <w:style w:type="paragraph" w:styleId="1035" w:customStyle="1">
    <w:name w:val="Основной текст (2)"/>
    <w:basedOn w:val="763"/>
    <w:link w:val="1032"/>
    <w:pPr>
      <w:jc w:val="both"/>
      <w:spacing w:before="660" w:after="0" w:line="298" w:lineRule="exact"/>
      <w:shd w:val="clear" w:color="auto" w:fill="ffffff"/>
      <w:widowControl w:val="off"/>
    </w:pPr>
    <w:rPr>
      <w:b/>
      <w:bCs/>
      <w:sz w:val="25"/>
      <w:szCs w:val="25"/>
    </w:rPr>
  </w:style>
  <w:style w:type="character" w:styleId="1036">
    <w:name w:val="FollowedHyperlink"/>
    <w:uiPriority w:val="99"/>
    <w:unhideWhenUsed/>
    <w:rPr>
      <w:color w:val="800080"/>
      <w:u w:val="single"/>
    </w:rPr>
  </w:style>
  <w:style w:type="character" w:styleId="1037" w:customStyle="1">
    <w:name w:val="Текст Знак"/>
    <w:link w:val="1038"/>
    <w:rPr>
      <w:rFonts w:ascii="Courier New" w:hAnsi="Courier New" w:cs="Courier New"/>
    </w:rPr>
  </w:style>
  <w:style w:type="paragraph" w:styleId="1038">
    <w:name w:val="Plain Text"/>
    <w:basedOn w:val="763"/>
    <w:link w:val="1037"/>
    <w:pPr>
      <w:jc w:val="both"/>
      <w:spacing w:after="0" w:line="240" w:lineRule="auto"/>
    </w:pPr>
    <w:rPr>
      <w:rFonts w:ascii="Courier New" w:hAnsi="Courier New" w:cs="Courier New"/>
    </w:rPr>
  </w:style>
  <w:style w:type="character" w:styleId="1039" w:customStyle="1">
    <w:name w:val="Текст Знак1"/>
    <w:basedOn w:val="773"/>
    <w:rPr>
      <w:rFonts w:ascii="Consolas" w:hAnsi="Consolas"/>
      <w:sz w:val="21"/>
      <w:szCs w:val="21"/>
    </w:rPr>
  </w:style>
  <w:style w:type="paragraph" w:styleId="1040" w:customStyle="1">
    <w:name w:val="Îáû÷íûé"/>
    <w:pPr>
      <w:spacing w:after="0" w:line="240" w:lineRule="auto"/>
    </w:pPr>
    <w:rPr>
      <w:rFonts w:ascii="Times New Roman" w:hAnsi="Times New Roman" w:eastAsia="Times New Roman" w:cs="Times New Roman"/>
      <w:sz w:val="20"/>
      <w:szCs w:val="20"/>
      <w:lang w:eastAsia="ru-RU"/>
    </w:rPr>
  </w:style>
  <w:style w:type="paragraph" w:styleId="1041" w:customStyle="1">
    <w:name w:val="02statia2"/>
    <w:basedOn w:val="763"/>
    <w:pPr>
      <w:ind w:left="2020" w:hanging="880"/>
      <w:jc w:val="both"/>
      <w:spacing w:before="120" w:after="0" w:line="320" w:lineRule="atLeast"/>
    </w:pPr>
    <w:rPr>
      <w:rFonts w:ascii="GaramondNarrowC" w:hAnsi="GaramondNarrowC" w:eastAsia="MS Mincho" w:cs="GaramondNarrowC"/>
      <w:color w:val="000000"/>
      <w:sz w:val="21"/>
      <w:szCs w:val="21"/>
      <w:lang w:eastAsia="ru-RU"/>
    </w:rPr>
  </w:style>
  <w:style w:type="paragraph" w:styleId="1042" w:customStyle="1">
    <w:name w:val="Без интервала1"/>
    <w:pPr>
      <w:spacing w:after="0" w:line="240" w:lineRule="auto"/>
    </w:pPr>
    <w:rPr>
      <w:rFonts w:ascii="Calibri" w:hAnsi="Calibri" w:eastAsia="Times New Roman" w:cs="Times New Roman"/>
      <w:lang w:eastAsia="ru-RU"/>
    </w:rPr>
  </w:style>
  <w:style w:type="character" w:styleId="1043" w:customStyle="1">
    <w:name w:val="f"/>
  </w:style>
  <w:style w:type="character" w:styleId="1044" w:customStyle="1">
    <w:name w:val="Основной текст (10)_"/>
    <w:link w:val="1045"/>
    <w:rPr>
      <w:sz w:val="23"/>
      <w:szCs w:val="23"/>
      <w:shd w:val="clear" w:color="auto" w:fill="ffffff"/>
    </w:rPr>
  </w:style>
  <w:style w:type="paragraph" w:styleId="1045" w:customStyle="1">
    <w:name w:val="Основной текст (10)"/>
    <w:basedOn w:val="763"/>
    <w:link w:val="1044"/>
    <w:pPr>
      <w:ind w:hanging="380"/>
      <w:jc w:val="right"/>
      <w:spacing w:after="0" w:line="274" w:lineRule="exact"/>
      <w:shd w:val="clear" w:color="auto" w:fill="ffffff"/>
    </w:pPr>
    <w:rPr>
      <w:sz w:val="23"/>
      <w:szCs w:val="23"/>
    </w:rPr>
  </w:style>
  <w:style w:type="character" w:styleId="1046">
    <w:name w:val="Strong"/>
    <w:uiPriority w:val="22"/>
    <w:qFormat/>
    <w:rPr>
      <w:b/>
      <w:bCs/>
    </w:rPr>
  </w:style>
  <w:style w:type="character" w:styleId="1047" w:customStyle="1">
    <w:name w:val="Основной текст + 9;5 pt;Не полужирный"/>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rPr>
  </w:style>
  <w:style w:type="character" w:styleId="1048" w:customStyle="1">
    <w:name w:val="Основной текст + 9"/>
    <w:rPr>
      <w:rFonts w:hint="default" w:ascii="Times New Roman" w:hAnsi="Times New Roman" w:eastAsia="Times New Roman" w:cs="Times New Roman"/>
      <w:b/>
      <w:bCs/>
      <w:i w:val="0"/>
      <w:iCs w:val="0"/>
      <w:smallCaps w:val="0"/>
      <w:strike w:val="0"/>
      <w:color w:val="000000"/>
      <w:spacing w:val="0"/>
      <w:position w:val="0"/>
      <w:sz w:val="19"/>
      <w:szCs w:val="19"/>
      <w:u w:val="none"/>
      <w:lang w:val="ru-RU"/>
    </w:rPr>
  </w:style>
  <w:style w:type="character" w:styleId="1049" w:customStyle="1">
    <w:name w:val="Основной текст Знак1"/>
    <w:uiPriority w:val="99"/>
    <w:semiHidden/>
    <w:rPr>
      <w:rFonts w:ascii="Times New Roman" w:hAnsi="Times New Roman" w:eastAsia="Times New Roman" w:cs="Times New Roman"/>
      <w:sz w:val="24"/>
      <w:szCs w:val="24"/>
      <w:lang w:eastAsia="ru-RU"/>
    </w:rPr>
  </w:style>
  <w:style w:type="numbering" w:styleId="1050" w:customStyle="1">
    <w:name w:val="Нет списка1111"/>
    <w:next w:val="775"/>
    <w:uiPriority w:val="99"/>
    <w:semiHidden/>
    <w:unhideWhenUsed/>
  </w:style>
  <w:style w:type="character" w:styleId="1051" w:customStyle="1">
    <w:name w:val="Просмотренная гиперссылка1"/>
    <w:uiPriority w:val="99"/>
    <w:unhideWhenUsed/>
    <w:rPr>
      <w:color w:val="800080"/>
      <w:u w:val="single"/>
    </w:rPr>
  </w:style>
  <w:style w:type="numbering" w:styleId="1052" w:customStyle="1">
    <w:name w:val="Нет списка2"/>
    <w:next w:val="775"/>
    <w:uiPriority w:val="99"/>
    <w:semiHidden/>
    <w:unhideWhenUsed/>
  </w:style>
  <w:style w:type="table" w:styleId="1053" w:customStyle="1">
    <w:name w:val="Сетка таблицы11"/>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54" w:customStyle="1">
    <w:name w:val="Font Style12"/>
    <w:uiPriority w:val="99"/>
    <w:rPr>
      <w:rFonts w:ascii="Times New Roman" w:hAnsi="Times New Roman" w:cs="Times New Roman"/>
      <w:sz w:val="26"/>
      <w:szCs w:val="26"/>
    </w:rPr>
  </w:style>
  <w:style w:type="paragraph" w:styleId="1055" w:customStyle="1">
    <w:name w:val="ConsPlusCell"/>
    <w:pPr>
      <w:spacing w:after="0" w:line="240" w:lineRule="auto"/>
      <w:widowControl w:val="off"/>
    </w:pPr>
    <w:rPr>
      <w:rFonts w:ascii="Arial" w:hAnsi="Arial" w:eastAsia="Times New Roman" w:cs="Arial"/>
      <w:sz w:val="20"/>
      <w:szCs w:val="20"/>
      <w:lang w:eastAsia="ru-RU"/>
    </w:rPr>
  </w:style>
  <w:style w:type="character" w:styleId="1056" w:customStyle="1">
    <w:name w:val="apple-style-span"/>
  </w:style>
  <w:style w:type="character" w:styleId="1057" w:customStyle="1">
    <w:name w:val="Текст выноски Знак1"/>
    <w:uiPriority w:val="99"/>
    <w:semiHidden/>
    <w:rPr>
      <w:rFonts w:ascii="Tahoma" w:hAnsi="Tahoma" w:cs="Tahoma"/>
      <w:color w:val="000000"/>
      <w:sz w:val="16"/>
      <w:szCs w:val="16"/>
      <w:lang w:eastAsia="ru-RU"/>
    </w:rPr>
  </w:style>
  <w:style w:type="character" w:styleId="1058" w:customStyle="1">
    <w:name w:val="Основной текст (3)_"/>
    <w:link w:val="1059"/>
    <w:rPr>
      <w:sz w:val="26"/>
      <w:szCs w:val="26"/>
      <w:shd w:val="clear" w:color="auto" w:fill="ffffff"/>
    </w:rPr>
  </w:style>
  <w:style w:type="paragraph" w:styleId="1059" w:customStyle="1">
    <w:name w:val="Основной текст (3)"/>
    <w:basedOn w:val="763"/>
    <w:link w:val="1058"/>
    <w:pPr>
      <w:jc w:val="both"/>
      <w:spacing w:before="900" w:after="0" w:line="317" w:lineRule="exact"/>
      <w:shd w:val="clear" w:color="auto" w:fill="ffffff"/>
    </w:pPr>
    <w:rPr>
      <w:sz w:val="26"/>
      <w:szCs w:val="26"/>
      <w:shd w:val="clear" w:color="auto" w:fill="ffffff"/>
    </w:rPr>
  </w:style>
  <w:style w:type="character" w:styleId="1060" w:customStyle="1">
    <w:name w:val="Основной текст (2) + Не полужирный"/>
    <w:rPr>
      <w:b/>
      <w:bCs/>
      <w:sz w:val="26"/>
      <w:szCs w:val="26"/>
      <w:shd w:val="clear" w:color="auto" w:fill="ffffff"/>
      <w:lang w:bidi="ar-SA"/>
    </w:rPr>
  </w:style>
  <w:style w:type="paragraph" w:styleId="1061" w:customStyle="1">
    <w:name w:val="Основной текст3"/>
    <w:basedOn w:val="763"/>
    <w:pPr>
      <w:ind w:hanging="340"/>
      <w:spacing w:after="0" w:line="0" w:lineRule="atLeast"/>
      <w:shd w:val="clear" w:color="auto" w:fill="ffffff"/>
    </w:pPr>
    <w:rPr>
      <w:rFonts w:ascii="Calibri" w:hAnsi="Calibri" w:eastAsia="Times New Roman" w:cs="Times New Roman"/>
      <w:sz w:val="20"/>
      <w:szCs w:val="20"/>
      <w:shd w:val="clear" w:color="auto" w:fill="ffffff"/>
    </w:rPr>
  </w:style>
  <w:style w:type="paragraph" w:styleId="1062" w:customStyle="1">
    <w:name w:val="Default"/>
    <w:pPr>
      <w:spacing w:after="0" w:line="240" w:lineRule="auto"/>
    </w:pPr>
    <w:rPr>
      <w:rFonts w:ascii="Times New Roman" w:hAnsi="Times New Roman" w:eastAsia="Times New Roman" w:cs="Times New Roman"/>
      <w:color w:val="000000"/>
      <w:sz w:val="24"/>
      <w:szCs w:val="24"/>
      <w:lang w:eastAsia="ru-RU"/>
    </w:rPr>
  </w:style>
  <w:style w:type="character" w:styleId="1063" w:customStyle="1">
    <w:name w:val="Цветовое выделение"/>
    <w:uiPriority w:val="99"/>
    <w:rPr>
      <w:b/>
      <w:color w:val="000080"/>
    </w:rPr>
  </w:style>
  <w:style w:type="paragraph" w:styleId="1064" w:customStyle="1">
    <w:name w:val="_Обычный"/>
    <w:basedOn w:val="763"/>
    <w:uiPriority w:val="99"/>
    <w:pPr>
      <w:ind w:firstLine="720"/>
      <w:jc w:val="both"/>
      <w:spacing w:after="120" w:line="240" w:lineRule="auto"/>
    </w:pPr>
    <w:rPr>
      <w:rFonts w:ascii="Times New Roman" w:hAnsi="Times New Roman" w:eastAsia="Times New Roman" w:cs="Times New Roman"/>
      <w:sz w:val="24"/>
      <w:szCs w:val="24"/>
      <w:lang w:eastAsia="ru-RU"/>
    </w:rPr>
  </w:style>
  <w:style w:type="character" w:styleId="1065" w:customStyle="1">
    <w:name w:val="Основной текст + Arial Unicode MS;9 pt"/>
    <w:rPr>
      <w:rFonts w:ascii="Arial Unicode MS" w:hAnsi="Arial Unicode MS" w:eastAsia="Arial Unicode MS" w:cs="Arial Unicode MS"/>
      <w:b w:val="0"/>
      <w:bCs w:val="0"/>
      <w:i w:val="0"/>
      <w:iCs w:val="0"/>
      <w:smallCaps w:val="0"/>
      <w:strike w:val="0"/>
      <w:color w:val="000000"/>
      <w:spacing w:val="0"/>
      <w:position w:val="0"/>
      <w:sz w:val="18"/>
      <w:szCs w:val="18"/>
      <w:u w:val="none"/>
      <w:lang w:val="ru-RU"/>
    </w:rPr>
  </w:style>
  <w:style w:type="paragraph" w:styleId="1066" w:customStyle="1">
    <w:name w:val="Пункт"/>
    <w:basedOn w:val="763"/>
    <w:pPr>
      <w:ind w:left="1404" w:hanging="504"/>
      <w:jc w:val="both"/>
      <w:spacing w:after="0" w:line="240" w:lineRule="auto"/>
      <w:tabs>
        <w:tab w:val="num" w:pos="1980" w:leader="none"/>
      </w:tabs>
    </w:pPr>
    <w:rPr>
      <w:rFonts w:ascii="Times New Roman" w:hAnsi="Times New Roman" w:eastAsia="Times New Roman" w:cs="Times New Roman"/>
      <w:sz w:val="24"/>
      <w:szCs w:val="28"/>
      <w:lang w:eastAsia="ru-RU"/>
    </w:rPr>
  </w:style>
  <w:style w:type="paragraph" w:styleId="1067" w:customStyle="1">
    <w:name w:val="Абзац списка1"/>
    <w:basedOn w:val="763"/>
    <w:pPr>
      <w:contextualSpacing/>
      <w:ind w:left="720"/>
      <w:spacing w:after="200" w:line="276" w:lineRule="auto"/>
    </w:pPr>
    <w:rPr>
      <w:rFonts w:ascii="Calibri" w:hAnsi="Calibri" w:eastAsia="Times New Roman" w:cs="Times New Roman"/>
    </w:rPr>
  </w:style>
  <w:style w:type="paragraph" w:styleId="1068" w:customStyle="1">
    <w:name w:val="Внимание: Криминал!!"/>
    <w:basedOn w:val="763"/>
    <w:next w:val="763"/>
    <w:pPr>
      <w:jc w:val="both"/>
      <w:spacing w:after="0" w:line="240" w:lineRule="auto"/>
      <w:widowControl w:val="off"/>
    </w:pPr>
    <w:rPr>
      <w:rFonts w:ascii="Arial" w:hAnsi="Arial" w:eastAsia="Times New Roman" w:cs="Arial"/>
      <w:sz w:val="24"/>
      <w:szCs w:val="24"/>
      <w:lang w:eastAsia="ru-RU"/>
    </w:rPr>
  </w:style>
  <w:style w:type="paragraph" w:styleId="1069" w:customStyle="1">
    <w:name w:val="Таблицы (моноширинный)"/>
    <w:basedOn w:val="763"/>
    <w:next w:val="763"/>
    <w:pPr>
      <w:jc w:val="both"/>
      <w:spacing w:after="0" w:line="240" w:lineRule="auto"/>
      <w:widowControl w:val="off"/>
    </w:pPr>
    <w:rPr>
      <w:rFonts w:ascii="Courier New" w:hAnsi="Courier New" w:eastAsia="Times New Roman" w:cs="Courier New"/>
      <w:sz w:val="24"/>
      <w:szCs w:val="24"/>
      <w:lang w:eastAsia="ru-RU"/>
    </w:rPr>
  </w:style>
  <w:style w:type="paragraph" w:styleId="1070" w:customStyle="1">
    <w:name w:val="Основной текст 31"/>
    <w:basedOn w:val="763"/>
    <w:pPr>
      <w:spacing w:after="120" w:line="240" w:lineRule="auto"/>
    </w:pPr>
    <w:rPr>
      <w:rFonts w:ascii="Times New Roman" w:hAnsi="Times New Roman" w:eastAsia="Times New Roman" w:cs="Times New Roman"/>
      <w:sz w:val="16"/>
      <w:szCs w:val="16"/>
      <w:lang w:eastAsia="ar-SA"/>
    </w:rPr>
  </w:style>
  <w:style w:type="paragraph" w:styleId="1071">
    <w:name w:val="List"/>
    <w:basedOn w:val="763"/>
    <w:pPr>
      <w:ind w:left="283" w:hanging="283"/>
      <w:jc w:val="both"/>
      <w:spacing w:after="60" w:line="240" w:lineRule="auto"/>
    </w:pPr>
    <w:rPr>
      <w:rFonts w:ascii="Times New Roman" w:hAnsi="Times New Roman" w:eastAsia="Times New Roman" w:cs="Times New Roman"/>
      <w:sz w:val="24"/>
      <w:szCs w:val="24"/>
      <w:lang w:eastAsia="ru-RU"/>
    </w:rPr>
  </w:style>
  <w:style w:type="character" w:styleId="1072" w:customStyle="1">
    <w:name w:val="Основной текст27"/>
    <w:rPr>
      <w:rFonts w:ascii="Times New Roman" w:hAnsi="Times New Roman" w:cs="Times New Roman"/>
      <w:spacing w:val="0"/>
      <w:sz w:val="23"/>
      <w:szCs w:val="23"/>
      <w:shd w:val="clear" w:color="auto" w:fill="ffffff"/>
    </w:rPr>
  </w:style>
  <w:style w:type="paragraph" w:styleId="1073" w:customStyle="1">
    <w:name w:val="Основной текст30"/>
    <w:basedOn w:val="763"/>
    <w:pPr>
      <w:ind w:hanging="380"/>
      <w:spacing w:after="0" w:line="240" w:lineRule="atLeast"/>
      <w:shd w:val="clear" w:color="auto" w:fill="ffffff"/>
    </w:pPr>
    <w:rPr>
      <w:rFonts w:ascii="Times New Roman" w:hAnsi="Times New Roman" w:eastAsia="Arial Unicode MS" w:cs="Times New Roman"/>
      <w:i/>
      <w:iCs/>
      <w:color w:val="000000"/>
      <w:sz w:val="23"/>
      <w:szCs w:val="23"/>
      <w:lang w:eastAsia="ru-RU"/>
    </w:rPr>
  </w:style>
  <w:style w:type="character" w:styleId="1074">
    <w:name w:val="Emphasis"/>
    <w:qFormat/>
    <w:rPr>
      <w:rFonts w:cs="Times New Roman"/>
      <w:i/>
      <w:iCs/>
    </w:rPr>
  </w:style>
  <w:style w:type="paragraph" w:styleId="1075" w:customStyle="1">
    <w:name w:val="PEA"/>
    <w:pPr>
      <w:ind w:firstLine="720"/>
      <w:spacing w:after="0" w:line="240" w:lineRule="auto"/>
      <w:widowControl w:val="off"/>
    </w:pPr>
    <w:rPr>
      <w:rFonts w:ascii="Arial" w:hAnsi="Arial" w:eastAsia="Times New Roman" w:cs="Arial"/>
      <w:sz w:val="20"/>
      <w:szCs w:val="20"/>
      <w:lang w:eastAsia="ru-RU"/>
    </w:rPr>
  </w:style>
  <w:style w:type="paragraph" w:styleId="1076" w:customStyle="1">
    <w:name w:val="Стиль2"/>
    <w:basedOn w:val="1077"/>
    <w:pPr>
      <w:numPr>
        <w:ilvl w:val="0"/>
        <w:numId w:val="5"/>
      </w:numPr>
      <w:contextualSpacing w:val="0"/>
      <w:ind w:left="643"/>
      <w:jc w:val="both"/>
      <w:keepLines/>
      <w:keepNext/>
      <w:spacing w:after="60"/>
      <w:widowControl w:val="off"/>
      <w:tabs>
        <w:tab w:val="num" w:pos="360" w:leader="none"/>
        <w:tab w:val="num" w:pos="643" w:leader="none"/>
        <w:tab w:val="num" w:pos="1209" w:leader="none"/>
      </w:tabs>
      <w:suppressLineNumbers/>
    </w:pPr>
    <w:rPr>
      <w:b/>
      <w:szCs w:val="20"/>
    </w:rPr>
  </w:style>
  <w:style w:type="paragraph" w:styleId="1077">
    <w:name w:val="List Number 2"/>
    <w:basedOn w:val="763"/>
    <w:pPr>
      <w:contextualSpacing/>
      <w:ind w:left="431" w:hanging="431"/>
      <w:spacing w:after="0" w:line="240" w:lineRule="auto"/>
      <w:tabs>
        <w:tab w:val="num" w:pos="432" w:leader="none"/>
      </w:tabs>
    </w:pPr>
    <w:rPr>
      <w:rFonts w:ascii="Times New Roman" w:hAnsi="Times New Roman" w:eastAsia="Times New Roman" w:cs="Times New Roman"/>
      <w:sz w:val="24"/>
      <w:szCs w:val="24"/>
      <w:lang w:eastAsia="ru-RU"/>
    </w:rPr>
  </w:style>
  <w:style w:type="paragraph" w:styleId="1078" w:customStyle="1">
    <w:name w:val="PEAformat"/>
    <w:pPr>
      <w:spacing w:after="0" w:line="240" w:lineRule="auto"/>
      <w:widowControl w:val="off"/>
    </w:pPr>
    <w:rPr>
      <w:rFonts w:ascii="Courier New" w:hAnsi="Courier New" w:eastAsia="Times New Roman" w:cs="Courier New"/>
      <w:sz w:val="20"/>
      <w:szCs w:val="20"/>
      <w:lang w:eastAsia="ru-RU"/>
    </w:rPr>
  </w:style>
  <w:style w:type="paragraph" w:styleId="1079" w:customStyle="1">
    <w:name w:val="formattext"/>
    <w:pPr>
      <w:spacing w:after="0" w:line="240" w:lineRule="auto"/>
      <w:widowControl w:val="off"/>
    </w:pPr>
    <w:rPr>
      <w:rFonts w:ascii="Times New Roman" w:hAnsi="Times New Roman" w:eastAsia="Times New Roman" w:cs="Times New Roman"/>
      <w:sz w:val="18"/>
      <w:szCs w:val="18"/>
      <w:lang w:eastAsia="ru-RU"/>
    </w:rPr>
  </w:style>
  <w:style w:type="numbering" w:styleId="1080" w:customStyle="1">
    <w:name w:val="Нет списка3"/>
    <w:next w:val="775"/>
    <w:uiPriority w:val="99"/>
    <w:semiHidden/>
    <w:unhideWhenUsed/>
  </w:style>
  <w:style w:type="table" w:styleId="1081" w:customStyle="1">
    <w:name w:val="Сетка таблицы21"/>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82" w:customStyle="1">
    <w:name w:val="Нет списка4"/>
    <w:next w:val="775"/>
    <w:uiPriority w:val="99"/>
    <w:semiHidden/>
    <w:unhideWhenUsed/>
  </w:style>
  <w:style w:type="paragraph" w:styleId="1083" w:customStyle="1">
    <w:name w:val="Обычный2"/>
    <w:pPr>
      <w:spacing w:after="0" w:line="240" w:lineRule="auto"/>
    </w:pPr>
    <w:rPr>
      <w:rFonts w:ascii="Times New Roman" w:hAnsi="Times New Roman" w:eastAsia="Times New Roman" w:cs="Times New Roman"/>
      <w:color w:val="000000"/>
      <w:sz w:val="24"/>
      <w:szCs w:val="20"/>
      <w:lang w:eastAsia="ru-RU"/>
    </w:rPr>
  </w:style>
  <w:style w:type="character" w:styleId="1084">
    <w:name w:val="line number"/>
    <w:semiHidden/>
  </w:style>
  <w:style w:type="character" w:styleId="1085" w:customStyle="1">
    <w:name w:val="Выделение1"/>
    <w:rPr>
      <w:i/>
      <w:sz w:val="24"/>
    </w:rPr>
  </w:style>
  <w:style w:type="character" w:styleId="1086" w:customStyle="1">
    <w:name w:val="Основной шрифт абзаца2"/>
    <w:rPr>
      <w:sz w:val="24"/>
    </w:rPr>
  </w:style>
  <w:style w:type="character" w:styleId="1087" w:customStyle="1">
    <w:name w:val="Выделение2"/>
    <w:rPr>
      <w:i/>
      <w:sz w:val="24"/>
    </w:rPr>
  </w:style>
  <w:style w:type="table" w:styleId="1088">
    <w:name w:val="Table Simple 1"/>
    <w:basedOn w:val="774"/>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89" w:customStyle="1">
    <w:name w:val="Сетка таблицы3"/>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0" w:customStyle="1">
    <w:name w:val="Простая таблица 11"/>
    <w:basedOn w:val="774"/>
    <w:next w:val="1088"/>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1" w:customStyle="1">
    <w:name w:val="Сетка таблицы12"/>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92" w:customStyle="1">
    <w:name w:val="1 / 1.1 / 1.1.11"/>
    <w:basedOn w:val="775"/>
    <w:next w:val="1019"/>
  </w:style>
  <w:style w:type="numbering" w:styleId="1093" w:customStyle="1">
    <w:name w:val="Текущий список11"/>
  </w:style>
  <w:style w:type="numbering" w:styleId="1094" w:customStyle="1">
    <w:name w:val="Нет списка12"/>
    <w:next w:val="775"/>
    <w:uiPriority w:val="99"/>
    <w:semiHidden/>
    <w:unhideWhenUsed/>
  </w:style>
  <w:style w:type="numbering" w:styleId="1095" w:customStyle="1">
    <w:name w:val="Нет списка21"/>
    <w:next w:val="775"/>
    <w:uiPriority w:val="99"/>
    <w:semiHidden/>
    <w:unhideWhenUsed/>
  </w:style>
  <w:style w:type="numbering" w:styleId="1096" w:customStyle="1">
    <w:name w:val="Нет списка31"/>
    <w:next w:val="775"/>
    <w:uiPriority w:val="99"/>
    <w:semiHidden/>
    <w:unhideWhenUsed/>
  </w:style>
  <w:style w:type="table" w:styleId="1097" w:customStyle="1">
    <w:name w:val="Сетка таблицы111"/>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98" w:customStyle="1">
    <w:name w:val="Нет списка5"/>
    <w:next w:val="775"/>
    <w:uiPriority w:val="99"/>
    <w:semiHidden/>
    <w:unhideWhenUsed/>
  </w:style>
  <w:style w:type="table" w:styleId="1099" w:customStyle="1">
    <w:name w:val="Простая таблица 12"/>
    <w:basedOn w:val="774"/>
    <w:next w:val="1088"/>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0" w:customStyle="1">
    <w:name w:val="Сетка таблицы4"/>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1" w:customStyle="1">
    <w:name w:val="Простая таблица 111"/>
    <w:basedOn w:val="774"/>
    <w:next w:val="1088"/>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2" w:customStyle="1">
    <w:name w:val="Сетка таблицы13"/>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103" w:customStyle="1">
    <w:name w:val="1 / 1.1 / 1.1.12"/>
    <w:basedOn w:val="775"/>
    <w:next w:val="1019"/>
  </w:style>
  <w:style w:type="numbering" w:styleId="1104" w:customStyle="1">
    <w:name w:val="Текущий список12"/>
  </w:style>
  <w:style w:type="numbering" w:styleId="1105" w:customStyle="1">
    <w:name w:val="Нет списка13"/>
    <w:next w:val="775"/>
    <w:uiPriority w:val="99"/>
    <w:semiHidden/>
    <w:unhideWhenUsed/>
  </w:style>
  <w:style w:type="numbering" w:styleId="1106" w:customStyle="1">
    <w:name w:val="Нет списка22"/>
    <w:next w:val="775"/>
    <w:uiPriority w:val="99"/>
    <w:semiHidden/>
    <w:unhideWhenUsed/>
  </w:style>
  <w:style w:type="numbering" w:styleId="1107" w:customStyle="1">
    <w:name w:val="Нет списка32"/>
    <w:next w:val="775"/>
    <w:uiPriority w:val="99"/>
    <w:semiHidden/>
    <w:unhideWhenUsed/>
  </w:style>
  <w:style w:type="table" w:styleId="1108" w:customStyle="1">
    <w:name w:val="Сетка таблицы22"/>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9" w:customStyle="1">
    <w:name w:val="Сетка таблицы112"/>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10">
    <w:name w:val="List Bullet 3"/>
    <w:basedOn w:val="763"/>
    <w:pPr>
      <w:ind w:left="926" w:hanging="360"/>
      <w:jc w:val="both"/>
      <w:spacing w:after="60" w:line="240" w:lineRule="auto"/>
      <w:tabs>
        <w:tab w:val="num" w:pos="926" w:leader="none"/>
      </w:tabs>
    </w:pPr>
    <w:rPr>
      <w:rFonts w:ascii="Times New Roman" w:hAnsi="Times New Roman" w:eastAsia="Times New Roman" w:cs="Times New Roman"/>
      <w:sz w:val="24"/>
      <w:szCs w:val="20"/>
      <w:lang w:eastAsia="ru-RU"/>
    </w:rPr>
  </w:style>
  <w:style w:type="paragraph" w:styleId="1111">
    <w:name w:val="Subtitle"/>
    <w:basedOn w:val="763"/>
    <w:next w:val="763"/>
    <w:link w:val="1112"/>
    <w:uiPriority w:val="11"/>
    <w:qFormat/>
    <w:pPr>
      <w:jc w:val="center"/>
      <w:spacing w:after="60" w:line="240" w:lineRule="auto"/>
      <w:widowControl w:val="off"/>
      <w:outlineLvl w:val="1"/>
    </w:pPr>
    <w:rPr>
      <w:rFonts w:ascii="Cambria" w:hAnsi="Cambria" w:eastAsia="Times New Roman" w:cs="Times New Roman"/>
      <w:sz w:val="24"/>
      <w:szCs w:val="24"/>
    </w:rPr>
  </w:style>
  <w:style w:type="character" w:styleId="1112" w:customStyle="1">
    <w:name w:val="Подзаголовок Знак"/>
    <w:basedOn w:val="773"/>
    <w:link w:val="1111"/>
    <w:uiPriority w:val="11"/>
    <w:rPr>
      <w:rFonts w:ascii="Cambria" w:hAnsi="Cambria" w:eastAsia="Times New Roman" w:cs="Times New Roman"/>
      <w:sz w:val="24"/>
      <w:szCs w:val="24"/>
    </w:rPr>
  </w:style>
  <w:style w:type="character" w:styleId="1113" w:customStyle="1">
    <w:name w:val="Абзац списка Знак"/>
    <w:link w:val="950"/>
    <w:uiPriority w:val="99"/>
    <w:rPr>
      <w:rFonts w:ascii="Calibri" w:hAnsi="Calibri" w:eastAsia="Calibri" w:cs="Times New Roman"/>
    </w:rPr>
  </w:style>
  <w:style w:type="table" w:styleId="1114" w:customStyle="1">
    <w:name w:val="Сетка таблицы5"/>
    <w:basedOn w:val="774"/>
    <w:next w:val="95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15">
    <w:name w:val="Normal (Web)"/>
    <w:basedOn w:val="763"/>
    <w:uiPriority w:val="99"/>
    <w:unhideWhenUsed/>
    <w:rPr>
      <w:rFonts w:ascii="Times New Roman" w:hAnsi="Times New Roman" w:cs="Times New Roman"/>
      <w:sz w:val="24"/>
      <w:szCs w:val="24"/>
    </w:rPr>
  </w:style>
  <w:style w:type="character" w:styleId="1116">
    <w:name w:val="Placeholder Text"/>
    <w:basedOn w:val="773"/>
    <w:uiPriority w:val="99"/>
    <w:semiHidden/>
    <w:rPr>
      <w:color w:val="808080"/>
    </w:rPr>
  </w:style>
  <w:style w:type="character" w:styleId="1117" w:customStyle="1">
    <w:name w:val="Стиль1"/>
    <w:basedOn w:val="773"/>
    <w:uiPriority w:val="1"/>
    <w:rPr>
      <w:rFonts w:ascii="Times New Roman" w:hAnsi="Times New Roman"/>
    </w:rPr>
  </w:style>
  <w:style w:type="character" w:styleId="1118" w:customStyle="1">
    <w:name w:val="Стиль4"/>
    <w:basedOn w:val="773"/>
    <w:uiPriority w:val="1"/>
    <w:rPr>
      <w:rFonts w:ascii="Times New Roman" w:hAnsi="Times New Roman"/>
    </w:rPr>
  </w:style>
  <w:style w:type="character" w:styleId="1119">
    <w:name w:val="Unresolved Mention"/>
    <w:basedOn w:val="773"/>
    <w:uiPriority w:val="99"/>
    <w:semiHidden/>
    <w:unhideWhenUsed/>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zakupki.gov.ru" TargetMode="External"/><Relationship Id="rId12" Type="http://schemas.openxmlformats.org/officeDocument/2006/relationships/hyperlink" Target="https://etp-region.ru" TargetMode="External"/><Relationship Id="rId13" Type="http://schemas.openxmlformats.org/officeDocument/2006/relationships/hyperlink" Target="http://www.zakupki.gov.ru" TargetMode="External"/><Relationship Id="rId14" Type="http://schemas.openxmlformats.org/officeDocument/2006/relationships/hyperlink" Target="https://etp-region.ru" TargetMode="External"/><Relationship Id="rId15" Type="http://schemas.openxmlformats.org/officeDocument/2006/relationships/hyperlink" Target="https://etp-region.ru" TargetMode="External"/><Relationship Id="rId16" Type="http://schemas.openxmlformats.org/officeDocument/2006/relationships/hyperlink" Target="https://zakupki.gov.ru/" TargetMode="External"/><Relationship Id="rId17" Type="http://schemas.openxmlformats.org/officeDocument/2006/relationships/hyperlink" Target="https://torgi.etp-region.ru/" TargetMode="External"/><Relationship Id="rId18" Type="http://schemas.openxmlformats.org/officeDocument/2006/relationships/hyperlink" Target="https://zakupki.gov.ru/" TargetMode="External"/><Relationship Id="rId19" Type="http://schemas.openxmlformats.org/officeDocument/2006/relationships/hyperlink" Target="https://torgi.etp-region.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642F5-3D99-4DEE-8447-553622FDE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DOC-MARKER-l-9402R0q1e2zcBuaWztGA</dc:description>
  <cp:lastModifiedBy>kislova-oe</cp:lastModifiedBy>
  <cp:revision>24</cp:revision>
  <dcterms:created xsi:type="dcterms:W3CDTF">2026-03-11T05:48:00Z</dcterms:created>
  <dcterms:modified xsi:type="dcterms:W3CDTF">2026-08-12T07:06:56Z</dcterms:modified>
</cp:coreProperties>
</file>