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rFonts w:eastAsia="Calibri"/>
          <w:b/>
          <w:b/>
          <w:bCs/>
          <w:sz w:val="22"/>
          <w:szCs w:val="22"/>
        </w:rPr>
      </w:pPr>
      <w:r>
        <w:rPr>
          <w:rFonts w:eastAsia="Calibri"/>
          <w:b/>
          <w:bCs/>
          <w:sz w:val="22"/>
          <w:szCs w:val="22"/>
        </w:rPr>
        <w:t>ОПИСАНИЕ ОБЪЕКТА ЗАКУПКИ</w:t>
      </w:r>
    </w:p>
    <w:p>
      <w:pPr>
        <w:pStyle w:val="Standard"/>
        <w:jc w:val="center"/>
        <w:rPr>
          <w:rFonts w:eastAsia="Calibri"/>
          <w:b/>
          <w:b/>
          <w:bCs/>
          <w:sz w:val="22"/>
          <w:szCs w:val="22"/>
        </w:rPr>
      </w:pPr>
      <w:r>
        <w:rPr>
          <w:rFonts w:eastAsia="Calibri"/>
          <w:b/>
          <w:bCs/>
          <w:sz w:val="22"/>
          <w:szCs w:val="22"/>
        </w:rPr>
      </w:r>
    </w:p>
    <w:p>
      <w:pPr>
        <w:pStyle w:val="Normal"/>
        <w:jc w:val="center"/>
        <w:rPr>
          <w:b/>
          <w:b/>
          <w:sz w:val="22"/>
          <w:szCs w:val="22"/>
        </w:rPr>
      </w:pPr>
      <w:r>
        <w:rPr>
          <w:rFonts w:eastAsia="Calibri"/>
          <w:b/>
          <w:color w:val="000000"/>
          <w:sz w:val="22"/>
          <w:szCs w:val="22"/>
        </w:rPr>
        <w:t>Грузоперевозка автомобильным транспортом по маршруту г. Старый Оскол Белгородская область - г. Новосибирск</w:t>
      </w:r>
    </w:p>
    <w:p>
      <w:pPr>
        <w:pStyle w:val="Normal"/>
        <w:jc w:val="center"/>
        <w:rPr>
          <w:b/>
          <w:b/>
          <w:sz w:val="22"/>
          <w:szCs w:val="22"/>
        </w:rPr>
      </w:pPr>
      <w:r>
        <w:rPr>
          <w:b/>
          <w:sz w:val="22"/>
          <w:szCs w:val="22"/>
        </w:rPr>
      </w:r>
    </w:p>
    <w:p>
      <w:pPr>
        <w:pStyle w:val="Standard"/>
        <w:jc w:val="center"/>
        <w:rPr>
          <w:b/>
          <w:b/>
          <w:bCs/>
          <w:sz w:val="22"/>
          <w:szCs w:val="22"/>
          <w:lang w:eastAsia="ru-RU"/>
        </w:rPr>
      </w:pPr>
      <w:r>
        <w:rPr>
          <w:b/>
          <w:bCs/>
          <w:sz w:val="22"/>
          <w:szCs w:val="22"/>
          <w:lang w:eastAsia="ru-RU"/>
        </w:rPr>
      </w:r>
    </w:p>
    <w:tbl>
      <w:tblPr>
        <w:tblW w:w="11165" w:type="dxa"/>
        <w:jc w:val="left"/>
        <w:tblInd w:w="-611" w:type="dxa"/>
        <w:tblLayout w:type="fixed"/>
        <w:tblCellMar>
          <w:top w:w="0" w:type="dxa"/>
          <w:left w:w="108" w:type="dxa"/>
          <w:bottom w:w="0" w:type="dxa"/>
          <w:right w:w="108" w:type="dxa"/>
        </w:tblCellMar>
        <w:tblLook w:firstRow="1" w:noVBand="1" w:lastRow="0" w:firstColumn="1" w:lastColumn="0" w:noHBand="0" w:val="04a0"/>
      </w:tblPr>
      <w:tblGrid>
        <w:gridCol w:w="512"/>
        <w:gridCol w:w="2888"/>
        <w:gridCol w:w="1560"/>
        <w:gridCol w:w="1842"/>
        <w:gridCol w:w="737"/>
        <w:gridCol w:w="1702"/>
        <w:gridCol w:w="1923"/>
      </w:tblGrid>
      <w:tr>
        <w:trPr>
          <w:trHeight w:val="1687" w:hRule="atLeast"/>
        </w:trPr>
        <w:tc>
          <w:tcPr>
            <w:tcW w:w="51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color w:val="000000"/>
                <w:sz w:val="22"/>
                <w:szCs w:val="22"/>
                <w:lang w:eastAsia="ru-RU"/>
              </w:rPr>
            </w:pPr>
            <w:r>
              <w:rPr>
                <w:color w:val="000000"/>
                <w:sz w:val="22"/>
                <w:szCs w:val="22"/>
                <w:lang w:eastAsia="ru-RU"/>
              </w:rPr>
              <w:t>№</w:t>
            </w:r>
          </w:p>
          <w:p>
            <w:pPr>
              <w:pStyle w:val="Standard"/>
              <w:widowControl w:val="false"/>
              <w:jc w:val="center"/>
              <w:rPr>
                <w:color w:val="000000"/>
                <w:sz w:val="22"/>
                <w:szCs w:val="22"/>
                <w:lang w:eastAsia="ru-RU"/>
              </w:rPr>
            </w:pPr>
            <w:r>
              <w:rPr>
                <w:color w:val="000000"/>
                <w:sz w:val="22"/>
                <w:szCs w:val="22"/>
                <w:lang w:eastAsia="ru-RU"/>
              </w:rPr>
              <w:t>п/п</w:t>
            </w:r>
          </w:p>
        </w:tc>
        <w:tc>
          <w:tcPr>
            <w:tcW w:w="288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sz w:val="22"/>
                <w:szCs w:val="22"/>
              </w:rPr>
            </w:pPr>
            <w:r>
              <w:rPr>
                <w:color w:val="000000"/>
                <w:sz w:val="22"/>
                <w:szCs w:val="22"/>
                <w:lang w:eastAsia="ru-RU"/>
              </w:rPr>
              <w:t xml:space="preserve">Наименование товара, </w:t>
            </w:r>
            <w:r>
              <w:rPr>
                <w:sz w:val="22"/>
                <w:szCs w:val="22"/>
                <w:lang w:eastAsia="ru-RU"/>
              </w:rPr>
              <w:t>номер реестровой записи (при наличии)</w:t>
            </w:r>
          </w:p>
          <w:p>
            <w:pPr>
              <w:pStyle w:val="Standard"/>
              <w:widowControl w:val="false"/>
              <w:jc w:val="center"/>
              <w:rPr>
                <w:color w:val="000000"/>
                <w:sz w:val="22"/>
                <w:szCs w:val="22"/>
                <w:lang w:eastAsia="ru-RU"/>
              </w:rPr>
            </w:pPr>
            <w:r>
              <w:rPr>
                <w:color w:val="000000"/>
                <w:sz w:val="22"/>
                <w:szCs w:val="22"/>
                <w:lang w:eastAsia="ru-RU"/>
              </w:rPr>
            </w:r>
          </w:p>
        </w:tc>
        <w:tc>
          <w:tcPr>
            <w:tcW w:w="1560"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bCs/>
                <w:sz w:val="22"/>
                <w:szCs w:val="22"/>
                <w:lang w:eastAsia="ar-SA"/>
              </w:rPr>
            </w:pPr>
            <w:r>
              <w:rPr>
                <w:bCs/>
                <w:sz w:val="22"/>
                <w:szCs w:val="22"/>
                <w:lang w:eastAsia="ar-SA"/>
              </w:rPr>
              <w:t>Требуемый тип а/м</w:t>
            </w:r>
          </w:p>
        </w:tc>
        <w:tc>
          <w:tcPr>
            <w:tcW w:w="184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color w:val="000000"/>
                <w:sz w:val="22"/>
                <w:szCs w:val="22"/>
                <w:lang w:eastAsia="ru-RU"/>
              </w:rPr>
            </w:pPr>
            <w:r>
              <w:rPr>
                <w:color w:val="000000"/>
                <w:sz w:val="22"/>
                <w:szCs w:val="22"/>
                <w:lang w:eastAsia="ru-RU"/>
              </w:rPr>
              <w:t>Способ погрузки/способ выгрузки</w:t>
            </w:r>
          </w:p>
        </w:tc>
        <w:tc>
          <w:tcPr>
            <w:tcW w:w="737"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color w:val="000000"/>
                <w:sz w:val="22"/>
                <w:szCs w:val="22"/>
                <w:lang w:eastAsia="ru-RU"/>
              </w:rPr>
            </w:pPr>
            <w:r>
              <w:rPr>
                <w:color w:val="000000"/>
                <w:sz w:val="22"/>
                <w:szCs w:val="22"/>
                <w:lang w:eastAsia="ru-RU"/>
              </w:rPr>
              <w:t>Ед. изм.</w:t>
            </w:r>
          </w:p>
        </w:tc>
        <w:tc>
          <w:tcPr>
            <w:tcW w:w="1702"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color w:val="000000"/>
                <w:sz w:val="22"/>
                <w:szCs w:val="22"/>
                <w:lang w:eastAsia="ru-RU"/>
              </w:rPr>
            </w:pPr>
            <w:r>
              <w:rPr>
                <w:color w:val="000000"/>
                <w:sz w:val="22"/>
                <w:szCs w:val="22"/>
                <w:lang w:eastAsia="ru-RU"/>
              </w:rPr>
              <w:t>Кол-во</w:t>
            </w:r>
          </w:p>
        </w:tc>
        <w:tc>
          <w:tcPr>
            <w:tcW w:w="1923"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color w:val="000000"/>
                <w:sz w:val="22"/>
                <w:szCs w:val="22"/>
                <w:lang w:eastAsia="ru-RU"/>
              </w:rPr>
            </w:pPr>
            <w:r>
              <w:rPr>
                <w:color w:val="000000"/>
                <w:sz w:val="22"/>
                <w:szCs w:val="22"/>
                <w:lang w:eastAsia="ru-RU"/>
              </w:rPr>
            </w:r>
          </w:p>
          <w:p>
            <w:pPr>
              <w:pStyle w:val="Standard"/>
              <w:widowControl w:val="false"/>
              <w:jc w:val="center"/>
              <w:rPr>
                <w:color w:val="000000"/>
                <w:sz w:val="22"/>
                <w:szCs w:val="22"/>
                <w:lang w:eastAsia="ru-RU"/>
              </w:rPr>
            </w:pPr>
            <w:r>
              <w:rPr>
                <w:color w:val="000000"/>
                <w:sz w:val="22"/>
                <w:szCs w:val="22"/>
                <w:lang w:eastAsia="ru-RU"/>
              </w:rPr>
              <w:t>Сумма, руб. с НДС 22%</w:t>
            </w:r>
          </w:p>
        </w:tc>
      </w:tr>
      <w:tr>
        <w:trPr>
          <w:trHeight w:val="477" w:hRule="atLeast"/>
        </w:trPr>
        <w:tc>
          <w:tcPr>
            <w:tcW w:w="512"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1</w:t>
            </w:r>
          </w:p>
        </w:tc>
        <w:tc>
          <w:tcPr>
            <w:tcW w:w="2888"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2</w:t>
            </w:r>
          </w:p>
        </w:tc>
        <w:tc>
          <w:tcPr>
            <w:tcW w:w="1560"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3</w:t>
            </w:r>
          </w:p>
        </w:tc>
        <w:tc>
          <w:tcPr>
            <w:tcW w:w="1842"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sz w:val="22"/>
                <w:szCs w:val="22"/>
                <w:lang w:eastAsia="ru-RU"/>
              </w:rPr>
            </w:pPr>
            <w:r>
              <w:rPr>
                <w:sz w:val="22"/>
                <w:szCs w:val="22"/>
                <w:lang w:eastAsia="ru-RU"/>
              </w:rPr>
              <w:t>4</w:t>
            </w:r>
          </w:p>
        </w:tc>
        <w:tc>
          <w:tcPr>
            <w:tcW w:w="737"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5</w:t>
            </w:r>
          </w:p>
        </w:tc>
        <w:tc>
          <w:tcPr>
            <w:tcW w:w="1702"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6</w:t>
            </w:r>
          </w:p>
        </w:tc>
        <w:tc>
          <w:tcPr>
            <w:tcW w:w="1923" w:type="dxa"/>
            <w:tcBorders>
              <w:top w:val="single" w:sz="4" w:space="0" w:color="00000A"/>
              <w:left w:val="single" w:sz="4" w:space="0" w:color="00000A"/>
              <w:bottom w:val="single" w:sz="4" w:space="0" w:color="00000A"/>
              <w:right w:val="single" w:sz="4" w:space="0" w:color="00000A"/>
            </w:tcBorders>
            <w:shd w:color="auto" w:fill="DBE5F1" w:val="clear"/>
            <w:vAlign w:val="center"/>
          </w:tcPr>
          <w:p>
            <w:pPr>
              <w:pStyle w:val="Standard"/>
              <w:widowControl w:val="false"/>
              <w:jc w:val="center"/>
              <w:rPr>
                <w:color w:val="000000"/>
                <w:sz w:val="22"/>
                <w:szCs w:val="22"/>
                <w:lang w:eastAsia="ru-RU"/>
              </w:rPr>
            </w:pPr>
            <w:r>
              <w:rPr>
                <w:color w:val="000000"/>
                <w:sz w:val="22"/>
                <w:szCs w:val="22"/>
                <w:lang w:eastAsia="ru-RU"/>
              </w:rPr>
              <w:t>7</w:t>
            </w:r>
          </w:p>
        </w:tc>
      </w:tr>
      <w:tr>
        <w:trPr>
          <w:trHeight w:val="200" w:hRule="atLeast"/>
        </w:trPr>
        <w:tc>
          <w:tcPr>
            <w:tcW w:w="512"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center"/>
              <w:rPr>
                <w:color w:val="000000"/>
                <w:sz w:val="22"/>
                <w:szCs w:val="22"/>
                <w:lang w:eastAsia="ru-RU"/>
              </w:rPr>
            </w:pPr>
            <w:r>
              <w:rPr>
                <w:color w:val="000000"/>
                <w:sz w:val="22"/>
                <w:szCs w:val="22"/>
                <w:lang w:eastAsia="ru-RU"/>
              </w:rPr>
              <w:t>1</w:t>
            </w:r>
          </w:p>
        </w:tc>
        <w:tc>
          <w:tcPr>
            <w:tcW w:w="2888"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jc w:val="both"/>
              <w:rPr>
                <w:b/>
                <w:b/>
                <w:sz w:val="22"/>
                <w:szCs w:val="22"/>
              </w:rPr>
            </w:pPr>
            <w:r>
              <w:rPr>
                <w:rFonts w:eastAsia="Calibri"/>
                <w:b w:val="false"/>
                <w:bCs w:val="false"/>
                <w:color w:val="000000"/>
                <w:sz w:val="22"/>
                <w:szCs w:val="22"/>
              </w:rPr>
              <w:t>Г</w:t>
            </w:r>
            <w:r>
              <w:rPr>
                <w:rFonts w:eastAsia="Calibri"/>
                <w:b w:val="false"/>
                <w:bCs w:val="false"/>
                <w:color w:val="000000"/>
                <w:sz w:val="20"/>
                <w:szCs w:val="20"/>
              </w:rPr>
              <w:t>рузоперевозка автомобильным транспортом по маршруту г. Старый Оскол Белгородская область - г. Новосибирск. Сыпучие смеси в биг-бэгах по 1 тонне.</w:t>
            </w:r>
          </w:p>
          <w:p>
            <w:pPr>
              <w:pStyle w:val="Normal"/>
              <w:widowControl w:val="false"/>
              <w:jc w:val="center"/>
              <w:rPr>
                <w:b w:val="false"/>
                <w:b w:val="false"/>
                <w:bCs w:val="false"/>
                <w:sz w:val="22"/>
                <w:szCs w:val="22"/>
              </w:rPr>
            </w:pPr>
            <w:r>
              <w:rPr>
                <w:b w:val="false"/>
                <w:bCs w:val="false"/>
                <w:sz w:val="22"/>
                <w:szCs w:val="22"/>
              </w:rPr>
            </w:r>
          </w:p>
          <w:p>
            <w:pPr>
              <w:pStyle w:val="Standard"/>
              <w:widowControl w:val="false"/>
              <w:jc w:val="center"/>
              <w:rPr>
                <w:color w:val="000000"/>
                <w:sz w:val="22"/>
                <w:szCs w:val="22"/>
                <w:lang w:eastAsia="ru-RU"/>
              </w:rPr>
            </w:pPr>
            <w:r>
              <w:rPr>
                <w:color w:val="000000"/>
                <w:sz w:val="22"/>
                <w:szCs w:val="22"/>
                <w:lang w:eastAsia="ru-RU"/>
              </w:rPr>
            </w:r>
          </w:p>
        </w:tc>
        <w:tc>
          <w:tcPr>
            <w:tcW w:w="1560"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center"/>
              <w:rPr>
                <w:color w:val="000000"/>
                <w:sz w:val="22"/>
                <w:szCs w:val="22"/>
                <w:lang w:eastAsia="ru-RU"/>
              </w:rPr>
            </w:pPr>
            <w:r>
              <w:rPr>
                <w:color w:val="000000"/>
                <w:sz w:val="22"/>
                <w:szCs w:val="22"/>
                <w:lang w:eastAsia="ru-RU"/>
              </w:rPr>
              <w:t>Тент, грузоподъемность до 22 тонн</w:t>
            </w:r>
          </w:p>
        </w:tc>
        <w:tc>
          <w:tcPr>
            <w:tcW w:w="1842"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center"/>
              <w:rPr>
                <w:sz w:val="22"/>
                <w:szCs w:val="22"/>
                <w:lang w:eastAsia="ru-RU"/>
              </w:rPr>
            </w:pPr>
            <w:r>
              <w:rPr>
                <w:sz w:val="22"/>
                <w:szCs w:val="22"/>
                <w:lang w:eastAsia="ru-RU"/>
              </w:rPr>
              <w:t>Погрузка верхняя, выгрузка боковая</w:t>
            </w:r>
          </w:p>
        </w:tc>
        <w:tc>
          <w:tcPr>
            <w:tcW w:w="737"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center"/>
              <w:rPr>
                <w:sz w:val="22"/>
                <w:szCs w:val="22"/>
                <w:lang w:eastAsia="ru-RU"/>
              </w:rPr>
            </w:pPr>
            <w:r>
              <w:rPr>
                <w:sz w:val="22"/>
                <w:szCs w:val="22"/>
                <w:lang w:eastAsia="ru-RU"/>
              </w:rPr>
              <w:t>рейс</w:t>
            </w:r>
          </w:p>
        </w:tc>
        <w:tc>
          <w:tcPr>
            <w:tcW w:w="1702"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center"/>
              <w:rPr>
                <w:sz w:val="22"/>
                <w:szCs w:val="22"/>
                <w:lang w:eastAsia="ru-RU"/>
              </w:rPr>
            </w:pPr>
            <w:r>
              <w:rPr>
                <w:sz w:val="22"/>
                <w:szCs w:val="22"/>
                <w:lang w:eastAsia="ru-RU"/>
              </w:rPr>
              <w:t xml:space="preserve">7 </w:t>
            </w:r>
            <w:r>
              <w:rPr>
                <w:sz w:val="22"/>
                <w:szCs w:val="22"/>
                <w:lang w:eastAsia="ru-RU"/>
              </w:rPr>
              <w:t>рейсов</w:t>
            </w:r>
          </w:p>
          <w:p>
            <w:pPr>
              <w:pStyle w:val="Standard"/>
              <w:widowControl w:val="false"/>
              <w:jc w:val="center"/>
              <w:rPr>
                <w:sz w:val="22"/>
                <w:szCs w:val="22"/>
                <w:lang w:eastAsia="ru-RU"/>
              </w:rPr>
            </w:pPr>
            <w:r>
              <w:rPr>
                <w:sz w:val="22"/>
                <w:szCs w:val="22"/>
                <w:lang w:eastAsia="ru-RU"/>
              </w:rPr>
              <w:t xml:space="preserve">Сентябрь-октябрь 2026 г. </w:t>
            </w:r>
            <w:r>
              <w:rPr>
                <w:sz w:val="22"/>
                <w:szCs w:val="22"/>
                <w:lang w:eastAsia="ru-RU"/>
              </w:rPr>
              <w:t xml:space="preserve">В рамках заключенного договора. </w:t>
            </w:r>
          </w:p>
        </w:tc>
        <w:tc>
          <w:tcPr>
            <w:tcW w:w="1923"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ind w:left="-139" w:right="-108" w:hanging="0"/>
              <w:jc w:val="center"/>
              <w:rPr>
                <w:sz w:val="22"/>
                <w:szCs w:val="22"/>
                <w:lang w:eastAsia="ru-RU"/>
              </w:rPr>
            </w:pPr>
            <w:r>
              <w:rPr>
                <w:sz w:val="22"/>
                <w:szCs w:val="22"/>
                <w:lang w:eastAsia="ru-RU"/>
              </w:rPr>
            </w:r>
          </w:p>
        </w:tc>
      </w:tr>
    </w:tbl>
    <w:p>
      <w:pPr>
        <w:pStyle w:val="Standard"/>
        <w:numPr>
          <w:ilvl w:val="0"/>
          <w:numId w:val="1"/>
        </w:numPr>
        <w:jc w:val="both"/>
        <w:rPr>
          <w:rFonts w:eastAsia="Calibri"/>
          <w:b/>
          <w:b/>
          <w:color w:val="000000"/>
          <w:sz w:val="22"/>
          <w:szCs w:val="22"/>
        </w:rPr>
      </w:pPr>
      <w:r>
        <w:rPr>
          <w:rFonts w:eastAsia="Calibri"/>
          <w:b/>
          <w:color w:val="000000"/>
          <w:sz w:val="22"/>
          <w:szCs w:val="22"/>
        </w:rPr>
        <w:t xml:space="preserve">Общие положения: </w:t>
      </w:r>
    </w:p>
    <w:p>
      <w:pPr>
        <w:pStyle w:val="Normal"/>
        <w:jc w:val="left"/>
        <w:rPr>
          <w:b w:val="false"/>
          <w:b w:val="false"/>
          <w:bCs w:val="false"/>
        </w:rPr>
      </w:pPr>
      <w:r>
        <w:rPr>
          <w:rFonts w:eastAsia="Calibri"/>
          <w:b w:val="false"/>
          <w:bCs w:val="false"/>
          <w:color w:val="000000"/>
          <w:sz w:val="22"/>
          <w:szCs w:val="22"/>
        </w:rPr>
        <w:t>Объект закупки: Грузоперевозка автомобильным транспортом по маршруту г. Старый Оскол Белгородская область - г. Новосибирск. Сухие смеси в биг-бэгах по 1 тонне. Количество перевозимого товара за 1 рейс до 22 тонн.</w:t>
      </w:r>
    </w:p>
    <w:p>
      <w:pPr>
        <w:pStyle w:val="Standard"/>
        <w:ind w:left="998" w:hanging="0"/>
        <w:jc w:val="left"/>
        <w:rPr>
          <w:b w:val="false"/>
          <w:b w:val="false"/>
          <w:bCs w:val="false"/>
          <w:sz w:val="22"/>
          <w:szCs w:val="22"/>
          <w:lang w:eastAsia="ru-RU"/>
        </w:rPr>
      </w:pPr>
      <w:r>
        <w:rPr>
          <w:b w:val="false"/>
          <w:bCs w:val="false"/>
          <w:sz w:val="22"/>
          <w:szCs w:val="22"/>
          <w:lang w:eastAsia="ru-RU"/>
        </w:rPr>
      </w:r>
    </w:p>
    <w:p>
      <w:pPr>
        <w:pStyle w:val="Standard"/>
        <w:ind w:left="998" w:hanging="0"/>
        <w:jc w:val="left"/>
        <w:rPr>
          <w:b w:val="false"/>
          <w:b w:val="false"/>
          <w:bCs w:val="false"/>
          <w:sz w:val="22"/>
          <w:szCs w:val="22"/>
          <w:lang w:eastAsia="ru-RU"/>
        </w:rPr>
      </w:pPr>
      <w:r>
        <w:rPr>
          <w:b w:val="false"/>
          <w:bCs w:val="false"/>
          <w:sz w:val="22"/>
          <w:szCs w:val="22"/>
          <w:lang w:eastAsia="ru-RU"/>
        </w:rPr>
      </w:r>
    </w:p>
    <w:p>
      <w:pPr>
        <w:pStyle w:val="Standard"/>
        <w:ind w:left="998" w:hanging="0"/>
        <w:jc w:val="both"/>
        <w:rPr>
          <w:rFonts w:eastAsia="Calibri"/>
          <w:b/>
          <w:b/>
          <w:color w:val="000000"/>
          <w:sz w:val="22"/>
          <w:szCs w:val="22"/>
        </w:rPr>
      </w:pPr>
      <w:r>
        <w:rPr>
          <w:rFonts w:eastAsia="Calibri"/>
          <w:b/>
          <w:color w:val="000000"/>
          <w:sz w:val="22"/>
          <w:szCs w:val="22"/>
        </w:rPr>
      </w:r>
    </w:p>
    <w:p>
      <w:pPr>
        <w:pStyle w:val="Standard"/>
        <w:numPr>
          <w:ilvl w:val="0"/>
          <w:numId w:val="1"/>
        </w:numPr>
        <w:jc w:val="both"/>
        <w:rPr>
          <w:rFonts w:eastAsia="Calibri"/>
          <w:b/>
          <w:b/>
          <w:color w:val="000000"/>
          <w:sz w:val="22"/>
          <w:szCs w:val="22"/>
        </w:rPr>
      </w:pPr>
      <w:r>
        <w:rPr>
          <w:rFonts w:eastAsia="Calibri"/>
          <w:b/>
          <w:color w:val="000000"/>
          <w:sz w:val="22"/>
          <w:szCs w:val="22"/>
        </w:rPr>
        <w:t>Функциональные, технические и качественные характеристики, эксплуатационные характеристики объекта закупки:</w:t>
      </w:r>
    </w:p>
    <w:p>
      <w:pPr>
        <w:pStyle w:val="Standard"/>
        <w:suppressAutoHyphens w:val="false"/>
        <w:rPr>
          <w:rFonts w:eastAsia="Calibri"/>
          <w:b/>
          <w:b/>
          <w:bCs/>
          <w:color w:val="000000"/>
          <w:sz w:val="22"/>
          <w:szCs w:val="22"/>
          <w:u w:val="single"/>
          <w:lang w:eastAsia="ru-RU"/>
        </w:rPr>
      </w:pPr>
      <w:r>
        <w:rPr>
          <w:rFonts w:eastAsia="Calibri"/>
          <w:b/>
          <w:bCs/>
          <w:color w:val="000000"/>
          <w:sz w:val="22"/>
          <w:szCs w:val="22"/>
          <w:u w:val="single"/>
          <w:lang w:eastAsia="ru-RU"/>
        </w:rPr>
      </w:r>
    </w:p>
    <w:tbl>
      <w:tblPr>
        <w:tblW w:w="9982" w:type="dxa"/>
        <w:jc w:val="left"/>
        <w:tblInd w:w="113" w:type="dxa"/>
        <w:tblLayout w:type="fixed"/>
        <w:tblCellMar>
          <w:top w:w="105" w:type="dxa"/>
          <w:left w:w="105" w:type="dxa"/>
          <w:bottom w:w="105" w:type="dxa"/>
          <w:right w:w="105" w:type="dxa"/>
        </w:tblCellMar>
        <w:tblLook w:firstRow="1" w:noVBand="1" w:lastRow="0" w:firstColumn="1" w:lastColumn="0" w:noHBand="0" w:val="04a0"/>
      </w:tblPr>
      <w:tblGrid>
        <w:gridCol w:w="663"/>
        <w:gridCol w:w="5250"/>
        <w:gridCol w:w="963"/>
        <w:gridCol w:w="3105"/>
      </w:tblGrid>
      <w:tr>
        <w:trPr/>
        <w:tc>
          <w:tcPr>
            <w:tcW w:w="663"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sz w:val="22"/>
                <w:szCs w:val="22"/>
                <w:lang w:eastAsia="ru-RU"/>
              </w:rPr>
            </w:pPr>
            <w:r>
              <w:rPr>
                <w:sz w:val="22"/>
                <w:szCs w:val="22"/>
                <w:lang w:eastAsia="ru-RU"/>
              </w:rPr>
              <w:t>Поз</w:t>
            </w:r>
          </w:p>
        </w:tc>
        <w:tc>
          <w:tcPr>
            <w:tcW w:w="52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sz w:val="22"/>
                <w:szCs w:val="22"/>
                <w:lang w:eastAsia="ru-RU"/>
              </w:rPr>
            </w:pPr>
            <w:r>
              <w:rPr>
                <w:sz w:val="22"/>
                <w:szCs w:val="22"/>
                <w:lang w:eastAsia="ru-RU"/>
              </w:rPr>
              <w:t>Наименование характеристики</w:t>
            </w:r>
          </w:p>
        </w:tc>
        <w:tc>
          <w:tcPr>
            <w:tcW w:w="963"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sz w:val="22"/>
                <w:szCs w:val="22"/>
                <w:lang w:eastAsia="ru-RU"/>
              </w:rPr>
            </w:pPr>
            <w:r>
              <w:rPr>
                <w:sz w:val="22"/>
                <w:szCs w:val="22"/>
                <w:lang w:eastAsia="ru-RU"/>
              </w:rPr>
              <w:t>Ед. изм.</w:t>
            </w:r>
          </w:p>
        </w:tc>
        <w:tc>
          <w:tcPr>
            <w:tcW w:w="3105"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sz w:val="22"/>
                <w:szCs w:val="22"/>
                <w:lang w:eastAsia="ru-RU"/>
              </w:rPr>
            </w:pPr>
            <w:r>
              <w:rPr>
                <w:sz w:val="22"/>
                <w:szCs w:val="22"/>
                <w:lang w:eastAsia="ru-RU"/>
              </w:rPr>
              <w:t>Значение</w:t>
            </w:r>
          </w:p>
        </w:tc>
      </w:tr>
      <w:tr>
        <w:trPr/>
        <w:tc>
          <w:tcPr>
            <w:tcW w:w="6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lang w:eastAsia="ru-RU"/>
              </w:rPr>
            </w:pPr>
            <w:r>
              <w:rPr>
                <w:b w:val="false"/>
                <w:bCs w:val="false"/>
                <w:sz w:val="20"/>
                <w:szCs w:val="20"/>
                <w:lang w:eastAsia="ru-RU"/>
              </w:rPr>
              <w:t>1</w:t>
            </w:r>
          </w:p>
        </w:tc>
        <w:tc>
          <w:tcPr>
            <w:tcW w:w="5250" w:type="dxa"/>
            <w:tcBorders>
              <w:left w:val="single" w:sz="4" w:space="0" w:color="000001"/>
              <w:bottom w:val="single" w:sz="4" w:space="0" w:color="000001"/>
              <w:right w:val="single" w:sz="4" w:space="0" w:color="000001"/>
            </w:tcBorders>
            <w:shd w:color="auto" w:fill="auto" w:val="clear"/>
            <w:vAlign w:val="center"/>
          </w:tcPr>
          <w:p>
            <w:pPr>
              <w:pStyle w:val="Normal"/>
              <w:widowControl w:val="false"/>
              <w:rPr>
                <w:b w:val="false"/>
                <w:b w:val="false"/>
                <w:bCs w:val="false"/>
                <w:sz w:val="20"/>
                <w:szCs w:val="20"/>
              </w:rPr>
            </w:pPr>
            <w:r>
              <w:rPr>
                <w:b w:val="false"/>
                <w:bCs w:val="false"/>
                <w:color w:val="000000"/>
                <w:sz w:val="20"/>
                <w:szCs w:val="20"/>
              </w:rPr>
              <w:t>Тип автомобиля</w:t>
            </w:r>
          </w:p>
        </w:tc>
        <w:tc>
          <w:tcPr>
            <w:tcW w:w="9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jc w:val="center"/>
              <w:rPr>
                <w:b w:val="false"/>
                <w:b w:val="false"/>
                <w:bCs w:val="false"/>
                <w:color w:val="000000"/>
                <w:sz w:val="20"/>
                <w:szCs w:val="20"/>
                <w:lang w:eastAsia="ru-RU"/>
              </w:rPr>
            </w:pPr>
            <w:r>
              <w:rPr>
                <w:b w:val="false"/>
                <w:bCs w:val="false"/>
                <w:color w:val="000000"/>
                <w:sz w:val="20"/>
                <w:szCs w:val="20"/>
                <w:lang w:eastAsia="ru-RU"/>
              </w:rPr>
            </w:r>
          </w:p>
        </w:tc>
        <w:tc>
          <w:tcPr>
            <w:tcW w:w="3105"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color w:val="000000"/>
                <w:sz w:val="20"/>
                <w:szCs w:val="20"/>
                <w:lang w:eastAsia="ru-RU"/>
              </w:rPr>
            </w:pPr>
            <w:r>
              <w:rPr>
                <w:b w:val="false"/>
                <w:bCs w:val="false"/>
                <w:color w:val="000000"/>
                <w:sz w:val="20"/>
                <w:szCs w:val="20"/>
                <w:lang w:eastAsia="ru-RU"/>
              </w:rPr>
              <w:t>Фура с тентованным полуприцепом. Сухой, чистый полуприцеп без повреждений тента.</w:t>
            </w:r>
          </w:p>
        </w:tc>
      </w:tr>
      <w:tr>
        <w:trPr/>
        <w:tc>
          <w:tcPr>
            <w:tcW w:w="6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2</w:t>
            </w:r>
          </w:p>
        </w:tc>
        <w:tc>
          <w:tcPr>
            <w:tcW w:w="5250"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Доставляемый материал</w:t>
            </w:r>
          </w:p>
        </w:tc>
        <w:tc>
          <w:tcPr>
            <w:tcW w:w="9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jc w:val="center"/>
              <w:rPr>
                <w:b w:val="false"/>
                <w:b w:val="false"/>
                <w:bCs w:val="false"/>
                <w:sz w:val="20"/>
                <w:szCs w:val="20"/>
                <w:lang w:eastAsia="ru-RU"/>
              </w:rPr>
            </w:pPr>
            <w:r>
              <w:rPr>
                <w:b w:val="false"/>
                <w:bCs w:val="false"/>
                <w:sz w:val="20"/>
                <w:szCs w:val="20"/>
                <w:lang w:eastAsia="ru-RU"/>
              </w:rPr>
            </w:r>
          </w:p>
        </w:tc>
        <w:tc>
          <w:tcPr>
            <w:tcW w:w="3105"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lang w:val="ru-RU"/>
              </w:rPr>
            </w:pPr>
            <w:r>
              <w:rPr>
                <w:b w:val="false"/>
                <w:bCs w:val="false"/>
                <w:sz w:val="20"/>
                <w:szCs w:val="20"/>
                <w:lang w:val="ru-RU" w:eastAsia="ru-RU"/>
              </w:rPr>
              <w:t>Сухие смеси в биг-бэгах по 1 тонне</w:t>
            </w:r>
          </w:p>
        </w:tc>
      </w:tr>
      <w:tr>
        <w:trPr/>
        <w:tc>
          <w:tcPr>
            <w:tcW w:w="6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3</w:t>
            </w:r>
          </w:p>
        </w:tc>
        <w:tc>
          <w:tcPr>
            <w:tcW w:w="5250" w:type="dxa"/>
            <w:tcBorders>
              <w:left w:val="single" w:sz="4" w:space="0" w:color="000001"/>
              <w:bottom w:val="single" w:sz="4" w:space="0" w:color="000001"/>
              <w:right w:val="single" w:sz="4" w:space="0" w:color="000001"/>
            </w:tcBorders>
            <w:shd w:color="auto" w:fill="auto" w:val="clear"/>
          </w:tcPr>
          <w:p>
            <w:pPr>
              <w:pStyle w:val="Normal"/>
              <w:widowControl w:val="false"/>
              <w:spacing w:beforeAutospacing="1" w:after="0"/>
              <w:rPr>
                <w:b w:val="false"/>
                <w:b w:val="false"/>
                <w:bCs w:val="false"/>
                <w:sz w:val="20"/>
                <w:szCs w:val="20"/>
              </w:rPr>
            </w:pPr>
            <w:r>
              <w:rPr>
                <w:b w:val="false"/>
                <w:bCs w:val="false"/>
                <w:sz w:val="20"/>
                <w:szCs w:val="20"/>
              </w:rPr>
              <w:t>Способ погрузки</w:t>
            </w:r>
          </w:p>
        </w:tc>
        <w:tc>
          <w:tcPr>
            <w:tcW w:w="9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jc w:val="center"/>
              <w:rPr>
                <w:b w:val="false"/>
                <w:b w:val="false"/>
                <w:bCs w:val="false"/>
                <w:sz w:val="20"/>
                <w:szCs w:val="20"/>
                <w:lang w:eastAsia="ru-RU"/>
              </w:rPr>
            </w:pPr>
            <w:r>
              <w:rPr>
                <w:b w:val="false"/>
                <w:bCs w:val="false"/>
                <w:sz w:val="20"/>
                <w:szCs w:val="20"/>
                <w:lang w:eastAsia="ru-RU"/>
              </w:rPr>
            </w:r>
          </w:p>
        </w:tc>
        <w:tc>
          <w:tcPr>
            <w:tcW w:w="3105"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Верхний, по полу полуприцепа без паллет.</w:t>
            </w:r>
          </w:p>
        </w:tc>
      </w:tr>
      <w:tr>
        <w:trPr/>
        <w:tc>
          <w:tcPr>
            <w:tcW w:w="663"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4</w:t>
            </w:r>
          </w:p>
        </w:tc>
        <w:tc>
          <w:tcPr>
            <w:tcW w:w="5250"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Способ выгрузки</w:t>
            </w:r>
          </w:p>
        </w:tc>
        <w:tc>
          <w:tcPr>
            <w:tcW w:w="963" w:type="dxa"/>
            <w:tcBorders>
              <w:left w:val="single" w:sz="4" w:space="0" w:color="000001"/>
              <w:bottom w:val="single" w:sz="4" w:space="0" w:color="000001"/>
              <w:right w:val="single" w:sz="4" w:space="0" w:color="000001"/>
            </w:tcBorders>
            <w:shd w:color="auto" w:fill="auto" w:val="clear"/>
            <w:vAlign w:val="center"/>
          </w:tcPr>
          <w:p>
            <w:pPr>
              <w:pStyle w:val="Standard"/>
              <w:widowControl w:val="false"/>
              <w:suppressAutoHyphens w:val="false"/>
              <w:jc w:val="center"/>
              <w:rPr>
                <w:b w:val="false"/>
                <w:b w:val="false"/>
                <w:bCs w:val="false"/>
                <w:sz w:val="20"/>
                <w:szCs w:val="20"/>
              </w:rPr>
            </w:pPr>
            <w:r>
              <w:rPr>
                <w:b w:val="false"/>
                <w:bCs w:val="false"/>
                <w:sz w:val="20"/>
                <w:szCs w:val="20"/>
              </w:rPr>
            </w:r>
          </w:p>
        </w:tc>
        <w:tc>
          <w:tcPr>
            <w:tcW w:w="3105"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Боковой</w:t>
            </w:r>
          </w:p>
        </w:tc>
      </w:tr>
      <w:tr>
        <w:trPr/>
        <w:tc>
          <w:tcPr>
            <w:tcW w:w="663"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5</w:t>
            </w:r>
          </w:p>
        </w:tc>
        <w:tc>
          <w:tcPr>
            <w:tcW w:w="525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beforeAutospacing="1" w:after="0"/>
              <w:rPr>
                <w:b w:val="false"/>
                <w:b w:val="false"/>
                <w:bCs w:val="false"/>
                <w:sz w:val="20"/>
                <w:szCs w:val="20"/>
                <w:lang w:val="ru-RU"/>
              </w:rPr>
            </w:pPr>
            <w:r>
              <w:rPr>
                <w:b w:val="false"/>
                <w:bCs w:val="false"/>
                <w:sz w:val="20"/>
                <w:szCs w:val="20"/>
                <w:lang w:val="ru-RU"/>
              </w:rPr>
              <w:t>Количество перевозимого товара</w:t>
            </w:r>
          </w:p>
        </w:tc>
        <w:tc>
          <w:tcPr>
            <w:tcW w:w="96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beforeAutospacing="1" w:after="0"/>
              <w:jc w:val="center"/>
              <w:rPr>
                <w:b w:val="false"/>
                <w:b w:val="false"/>
                <w:bCs w:val="false"/>
                <w:sz w:val="20"/>
                <w:szCs w:val="20"/>
                <w:lang w:val="ru-RU"/>
              </w:rPr>
            </w:pPr>
            <w:r>
              <w:rPr>
                <w:b w:val="false"/>
                <w:bCs w:val="false"/>
                <w:sz w:val="20"/>
                <w:szCs w:val="20"/>
                <w:lang w:val="ru-RU"/>
              </w:rPr>
            </w:r>
          </w:p>
        </w:tc>
        <w:tc>
          <w:tcPr>
            <w:tcW w:w="3105"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lang w:val="ru-RU"/>
              </w:rPr>
            </w:pPr>
            <w:r>
              <w:rPr>
                <w:b w:val="false"/>
                <w:bCs w:val="false"/>
                <w:sz w:val="20"/>
                <w:szCs w:val="20"/>
                <w:lang w:val="ru-RU" w:eastAsia="ru-RU"/>
              </w:rPr>
              <w:t>До 22 тонн</w:t>
            </w:r>
          </w:p>
        </w:tc>
      </w:tr>
      <w:tr>
        <w:trPr/>
        <w:tc>
          <w:tcPr>
            <w:tcW w:w="663"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6</w:t>
            </w:r>
          </w:p>
        </w:tc>
        <w:tc>
          <w:tcPr>
            <w:tcW w:w="525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beforeAutospacing="1" w:after="0"/>
              <w:rPr>
                <w:b w:val="false"/>
                <w:b w:val="false"/>
                <w:bCs w:val="false"/>
                <w:sz w:val="20"/>
                <w:szCs w:val="20"/>
              </w:rPr>
            </w:pPr>
            <w:r>
              <w:rPr>
                <w:b w:val="false"/>
                <w:bCs w:val="false"/>
                <w:sz w:val="20"/>
                <w:szCs w:val="20"/>
              </w:rPr>
              <w:t>Срок доставки</w:t>
            </w:r>
          </w:p>
        </w:tc>
        <w:tc>
          <w:tcPr>
            <w:tcW w:w="96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beforeAutospacing="1" w:after="0"/>
              <w:jc w:val="center"/>
              <w:rPr>
                <w:b w:val="false"/>
                <w:b w:val="false"/>
                <w:bCs w:val="false"/>
                <w:sz w:val="20"/>
                <w:szCs w:val="20"/>
              </w:rPr>
            </w:pPr>
            <w:r>
              <w:rPr>
                <w:b w:val="false"/>
                <w:bCs w:val="false"/>
                <w:sz w:val="20"/>
                <w:szCs w:val="20"/>
              </w:rPr>
            </w:r>
          </w:p>
        </w:tc>
        <w:tc>
          <w:tcPr>
            <w:tcW w:w="3105"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rPr>
            </w:pPr>
            <w:r>
              <w:rPr>
                <w:b w:val="false"/>
                <w:bCs w:val="false"/>
                <w:sz w:val="20"/>
                <w:szCs w:val="20"/>
                <w:lang w:eastAsia="ru-RU"/>
              </w:rPr>
              <w:t>5 суток включая день погрузки</w:t>
            </w:r>
          </w:p>
        </w:tc>
      </w:tr>
      <w:tr>
        <w:trPr/>
        <w:tc>
          <w:tcPr>
            <w:tcW w:w="663" w:type="dxa"/>
            <w:tcBorders>
              <w:top w:val="single" w:sz="4" w:space="0" w:color="000001"/>
              <w:left w:val="single" w:sz="4" w:space="0" w:color="000001"/>
              <w:bottom w:val="single" w:sz="4" w:space="0" w:color="000001"/>
            </w:tcBorders>
            <w:shd w:color="auto" w:fill="auto" w:val="clear"/>
          </w:tcPr>
          <w:p>
            <w:pPr>
              <w:pStyle w:val="Standard"/>
              <w:widowControl w:val="false"/>
              <w:suppressAutoHyphens w:val="false"/>
              <w:rPr>
                <w:b w:val="false"/>
                <w:b w:val="false"/>
                <w:bCs w:val="false"/>
                <w:sz w:val="20"/>
                <w:szCs w:val="20"/>
                <w:lang w:eastAsia="ru-RU"/>
              </w:rPr>
            </w:pPr>
            <w:r>
              <w:rPr>
                <w:b w:val="false"/>
                <w:bCs w:val="false"/>
                <w:sz w:val="20"/>
                <w:szCs w:val="20"/>
                <w:lang w:eastAsia="ru-RU"/>
              </w:rPr>
              <w:t>7</w:t>
            </w:r>
          </w:p>
        </w:tc>
        <w:tc>
          <w:tcPr>
            <w:tcW w:w="5250" w:type="dxa"/>
            <w:tcBorders>
              <w:top w:val="single" w:sz="4" w:space="0" w:color="000001"/>
              <w:left w:val="single" w:sz="4" w:space="0" w:color="000001"/>
              <w:bottom w:val="single" w:sz="4" w:space="0" w:color="000001"/>
            </w:tcBorders>
            <w:shd w:color="auto" w:fill="auto" w:val="clear"/>
          </w:tcPr>
          <w:p>
            <w:pPr>
              <w:pStyle w:val="Normal"/>
              <w:widowControl w:val="false"/>
              <w:spacing w:beforeAutospacing="1" w:after="0"/>
              <w:rPr>
                <w:b w:val="false"/>
                <w:b w:val="false"/>
                <w:bCs w:val="false"/>
                <w:sz w:val="20"/>
                <w:szCs w:val="20"/>
              </w:rPr>
            </w:pPr>
            <w:r>
              <w:rPr>
                <w:b w:val="false"/>
                <w:bCs w:val="false"/>
                <w:sz w:val="20"/>
                <w:szCs w:val="20"/>
              </w:rPr>
              <w:t>Способ обмена документами</w:t>
            </w:r>
          </w:p>
        </w:tc>
        <w:tc>
          <w:tcPr>
            <w:tcW w:w="963" w:type="dxa"/>
            <w:tcBorders>
              <w:top w:val="single" w:sz="4" w:space="0" w:color="000001"/>
              <w:left w:val="single" w:sz="4" w:space="0" w:color="000001"/>
              <w:bottom w:val="single" w:sz="4" w:space="0" w:color="000001"/>
            </w:tcBorders>
            <w:shd w:color="auto" w:fill="auto" w:val="clear"/>
            <w:vAlign w:val="center"/>
          </w:tcPr>
          <w:p>
            <w:pPr>
              <w:pStyle w:val="Normal"/>
              <w:widowControl w:val="false"/>
              <w:spacing w:beforeAutospacing="1" w:after="0"/>
              <w:jc w:val="center"/>
              <w:rPr>
                <w:b w:val="false"/>
                <w:b w:val="false"/>
                <w:bCs w:val="false"/>
                <w:sz w:val="20"/>
                <w:szCs w:val="20"/>
              </w:rPr>
            </w:pPr>
            <w:r>
              <w:rPr>
                <w:b w:val="false"/>
                <w:bCs w:val="false"/>
                <w:sz w:val="20"/>
                <w:szCs w:val="20"/>
              </w:rPr>
            </w:r>
          </w:p>
        </w:tc>
        <w:tc>
          <w:tcPr>
            <w:tcW w:w="3105"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lang w:eastAsia="ru-RU"/>
              </w:rPr>
            </w:pPr>
            <w:r>
              <w:rPr>
                <w:b w:val="false"/>
                <w:bCs w:val="false"/>
                <w:sz w:val="20"/>
                <w:szCs w:val="20"/>
                <w:lang w:eastAsia="ru-RU"/>
              </w:rPr>
              <w:t>ЭДО</w:t>
            </w:r>
          </w:p>
        </w:tc>
      </w:tr>
      <w:tr>
        <w:trPr/>
        <w:tc>
          <w:tcPr>
            <w:tcW w:w="663" w:type="dxa"/>
            <w:tcBorders>
              <w:left w:val="single" w:sz="4" w:space="0" w:color="000001"/>
              <w:bottom w:val="single" w:sz="4" w:space="0" w:color="000001"/>
            </w:tcBorders>
            <w:shd w:color="auto" w:fill="auto" w:val="clear"/>
          </w:tcPr>
          <w:p>
            <w:pPr>
              <w:pStyle w:val="Standard"/>
              <w:widowControl w:val="false"/>
              <w:suppressAutoHyphens w:val="false"/>
              <w:rPr>
                <w:b w:val="false"/>
                <w:b w:val="false"/>
                <w:bCs w:val="false"/>
                <w:sz w:val="20"/>
                <w:szCs w:val="20"/>
                <w:lang w:eastAsia="ru-RU"/>
              </w:rPr>
            </w:pPr>
            <w:r>
              <w:rPr>
                <w:b w:val="false"/>
                <w:bCs w:val="false"/>
                <w:sz w:val="20"/>
                <w:szCs w:val="20"/>
                <w:lang w:eastAsia="ru-RU"/>
              </w:rPr>
              <w:t>8</w:t>
            </w:r>
          </w:p>
        </w:tc>
        <w:tc>
          <w:tcPr>
            <w:tcW w:w="5250" w:type="dxa"/>
            <w:tcBorders>
              <w:left w:val="single" w:sz="4" w:space="0" w:color="000001"/>
              <w:bottom w:val="single" w:sz="4" w:space="0" w:color="000001"/>
            </w:tcBorders>
            <w:shd w:color="auto" w:fill="auto" w:val="clear"/>
          </w:tcPr>
          <w:p>
            <w:pPr>
              <w:pStyle w:val="Normal"/>
              <w:widowControl w:val="false"/>
              <w:spacing w:beforeAutospacing="1" w:after="0"/>
              <w:rPr>
                <w:b w:val="false"/>
                <w:b w:val="false"/>
                <w:bCs w:val="false"/>
                <w:sz w:val="20"/>
                <w:szCs w:val="20"/>
              </w:rPr>
            </w:pPr>
            <w:r>
              <w:rPr>
                <w:b w:val="false"/>
                <w:bCs w:val="false"/>
                <w:sz w:val="20"/>
                <w:szCs w:val="20"/>
              </w:rPr>
              <w:t>Особые требования</w:t>
            </w:r>
          </w:p>
        </w:tc>
        <w:tc>
          <w:tcPr>
            <w:tcW w:w="963" w:type="dxa"/>
            <w:tcBorders>
              <w:left w:val="single" w:sz="4" w:space="0" w:color="000001"/>
              <w:bottom w:val="single" w:sz="4" w:space="0" w:color="000001"/>
            </w:tcBorders>
            <w:shd w:color="auto" w:fill="auto" w:val="clear"/>
            <w:vAlign w:val="center"/>
          </w:tcPr>
          <w:p>
            <w:pPr>
              <w:pStyle w:val="Normal"/>
              <w:widowControl w:val="false"/>
              <w:spacing w:beforeAutospacing="1" w:after="0"/>
              <w:jc w:val="center"/>
              <w:rPr>
                <w:b w:val="false"/>
                <w:b w:val="false"/>
                <w:bCs w:val="false"/>
                <w:sz w:val="20"/>
                <w:szCs w:val="20"/>
              </w:rPr>
            </w:pPr>
            <w:r>
              <w:rPr>
                <w:b w:val="false"/>
                <w:bCs w:val="false"/>
                <w:sz w:val="20"/>
                <w:szCs w:val="20"/>
              </w:rPr>
            </w:r>
          </w:p>
        </w:tc>
        <w:tc>
          <w:tcPr>
            <w:tcW w:w="3105" w:type="dxa"/>
            <w:tcBorders>
              <w:left w:val="single" w:sz="4" w:space="0" w:color="000001"/>
              <w:bottom w:val="single" w:sz="4" w:space="0" w:color="000001"/>
              <w:right w:val="single" w:sz="4" w:space="0" w:color="000001"/>
            </w:tcBorders>
            <w:shd w:color="auto" w:fill="auto" w:val="clear"/>
          </w:tcPr>
          <w:p>
            <w:pPr>
              <w:pStyle w:val="Standard"/>
              <w:widowControl w:val="false"/>
              <w:suppressAutoHyphens w:val="false"/>
              <w:rPr>
                <w:b w:val="false"/>
                <w:b w:val="false"/>
                <w:bCs w:val="false"/>
                <w:sz w:val="20"/>
                <w:szCs w:val="20"/>
                <w:lang w:val="en-US" w:eastAsia="ru-RU"/>
              </w:rPr>
            </w:pPr>
            <w:r>
              <w:rPr>
                <w:b w:val="false"/>
                <w:bCs w:val="false"/>
                <w:sz w:val="20"/>
                <w:szCs w:val="20"/>
                <w:lang w:val="en-US" w:eastAsia="ru-RU"/>
              </w:rPr>
              <w:t>GPS-</w:t>
            </w:r>
            <w:r>
              <w:rPr>
                <w:b w:val="false"/>
                <w:bCs w:val="false"/>
                <w:sz w:val="20"/>
                <w:szCs w:val="20"/>
                <w:lang w:val="ru-RU" w:eastAsia="ru-RU"/>
              </w:rPr>
              <w:t>навигация. Перевозчик(экспедитор) должны иметь аккредитацию Ространснадзора. Работа в рамках Договора по ИГК  с наличием спецсчета у перевозчика (экспедитора).</w:t>
            </w:r>
          </w:p>
        </w:tc>
      </w:tr>
    </w:tbl>
    <w:p>
      <w:pPr>
        <w:pStyle w:val="Standard"/>
        <w:ind w:left="1074" w:hanging="0"/>
        <w:jc w:val="both"/>
        <w:rPr>
          <w:b/>
          <w:b/>
          <w:sz w:val="22"/>
          <w:szCs w:val="22"/>
          <w:lang w:eastAsia="ru-RU"/>
        </w:rPr>
      </w:pPr>
      <w:r>
        <w:rPr>
          <w:b/>
          <w:sz w:val="22"/>
          <w:szCs w:val="22"/>
          <w:lang w:eastAsia="ru-RU"/>
        </w:rPr>
      </w:r>
    </w:p>
    <w:p>
      <w:pPr>
        <w:pStyle w:val="Standard"/>
        <w:ind w:left="1074" w:hanging="0"/>
        <w:jc w:val="both"/>
        <w:rPr>
          <w:b/>
          <w:b/>
          <w:sz w:val="22"/>
          <w:szCs w:val="22"/>
          <w:lang w:eastAsia="ru-RU"/>
        </w:rPr>
      </w:pPr>
      <w:r>
        <w:rPr>
          <w:b/>
          <w:sz w:val="22"/>
          <w:szCs w:val="22"/>
          <w:lang w:eastAsia="ru-RU"/>
        </w:rPr>
      </w:r>
    </w:p>
    <w:p>
      <w:pPr>
        <w:pStyle w:val="Standard"/>
        <w:ind w:left="1074" w:hanging="0"/>
        <w:jc w:val="both"/>
        <w:rPr>
          <w:b/>
          <w:b/>
          <w:sz w:val="22"/>
          <w:szCs w:val="22"/>
          <w:lang w:eastAsia="ru-RU"/>
        </w:rPr>
      </w:pPr>
      <w:r>
        <w:rPr>
          <w:b/>
          <w:sz w:val="22"/>
          <w:szCs w:val="22"/>
          <w:lang w:eastAsia="ru-RU"/>
        </w:rPr>
      </w:r>
    </w:p>
    <w:p>
      <w:pPr>
        <w:pStyle w:val="Standard"/>
        <w:numPr>
          <w:ilvl w:val="0"/>
          <w:numId w:val="1"/>
        </w:numPr>
        <w:jc w:val="both"/>
        <w:rPr>
          <w:b/>
          <w:b/>
          <w:sz w:val="22"/>
          <w:szCs w:val="22"/>
          <w:lang w:eastAsia="ru-RU"/>
        </w:rPr>
      </w:pPr>
      <w:r>
        <w:rPr>
          <w:rFonts w:eastAsia="Calibri"/>
          <w:b/>
          <w:color w:val="000000"/>
          <w:sz w:val="22"/>
          <w:szCs w:val="22"/>
        </w:rPr>
        <w:t>Срок поставки товаров</w:t>
      </w:r>
    </w:p>
    <w:p>
      <w:pPr>
        <w:pStyle w:val="Standard"/>
        <w:numPr>
          <w:ilvl w:val="0"/>
          <w:numId w:val="0"/>
        </w:numPr>
        <w:ind w:left="998" w:hanging="0"/>
        <w:jc w:val="both"/>
        <w:rPr>
          <w:b/>
          <w:b/>
          <w:sz w:val="22"/>
          <w:szCs w:val="22"/>
          <w:lang w:eastAsia="ru-RU"/>
        </w:rPr>
      </w:pPr>
      <w:r>
        <w:rPr>
          <w:b/>
          <w:sz w:val="22"/>
          <w:szCs w:val="22"/>
          <w:lang w:eastAsia="ru-RU"/>
        </w:rPr>
      </w:r>
    </w:p>
    <w:p>
      <w:pPr>
        <w:pStyle w:val="Standard"/>
        <w:numPr>
          <w:ilvl w:val="1"/>
          <w:numId w:val="1"/>
        </w:numPr>
        <w:jc w:val="both"/>
        <w:rPr>
          <w:rFonts w:eastAsia="Calibri"/>
          <w:color w:val="000000"/>
          <w:sz w:val="22"/>
          <w:szCs w:val="22"/>
        </w:rPr>
      </w:pPr>
      <w:r>
        <w:rPr>
          <w:rFonts w:eastAsia="Calibri"/>
          <w:color w:val="000000"/>
          <w:sz w:val="22"/>
          <w:szCs w:val="22"/>
        </w:rPr>
        <w:t>Срок действия договора с момента заключения по 31.12.202</w:t>
      </w:r>
      <w:r>
        <w:rPr>
          <w:rFonts w:eastAsia="Calibri"/>
          <w:color w:val="000000"/>
          <w:sz w:val="22"/>
          <w:szCs w:val="22"/>
        </w:rPr>
        <w:t>6</w:t>
      </w:r>
      <w:r>
        <w:rPr>
          <w:rFonts w:eastAsia="Calibri"/>
          <w:color w:val="000000"/>
          <w:sz w:val="22"/>
          <w:szCs w:val="22"/>
        </w:rPr>
        <w:t xml:space="preserve"> г. </w:t>
      </w:r>
      <w:r>
        <w:rPr>
          <w:rFonts w:eastAsia="Calibri"/>
          <w:color w:val="000000"/>
          <w:sz w:val="22"/>
          <w:szCs w:val="22"/>
        </w:rPr>
        <w:t>с возможной пролонгацией на год</w:t>
      </w:r>
      <w:r>
        <w:rPr>
          <w:rFonts w:eastAsia="Calibri"/>
          <w:color w:val="000000"/>
          <w:sz w:val="22"/>
          <w:szCs w:val="22"/>
        </w:rPr>
        <w:t xml:space="preserve"> и до исполнения сторонами всех обязательств. </w:t>
      </w:r>
      <w:r>
        <w:rPr>
          <w:rFonts w:eastAsia="Calibri"/>
          <w:color w:val="000000"/>
          <w:sz w:val="22"/>
          <w:szCs w:val="22"/>
        </w:rPr>
        <w:t xml:space="preserve">Срок оказания услуги сентябрь-октябрь 2026 г. </w:t>
      </w:r>
    </w:p>
    <w:p>
      <w:pPr>
        <w:pStyle w:val="Standard"/>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numPr>
          <w:ilvl w:val="0"/>
          <w:numId w:val="1"/>
        </w:numPr>
        <w:jc w:val="both"/>
        <w:rPr>
          <w:rFonts w:eastAsia="Helv"/>
          <w:b/>
          <w:b/>
          <w:sz w:val="22"/>
          <w:szCs w:val="22"/>
          <w:lang w:eastAsia="ru-RU"/>
        </w:rPr>
      </w:pPr>
      <w:r>
        <w:rPr>
          <w:rFonts w:eastAsia="Helv"/>
          <w:b/>
          <w:sz w:val="22"/>
          <w:szCs w:val="22"/>
          <w:lang w:eastAsia="ru-RU"/>
        </w:rPr>
        <w:t>Условия поставки.</w:t>
      </w:r>
    </w:p>
    <w:p>
      <w:pPr>
        <w:pStyle w:val="Standard"/>
        <w:numPr>
          <w:ilvl w:val="0"/>
          <w:numId w:val="0"/>
        </w:numPr>
        <w:ind w:left="998" w:hanging="0"/>
        <w:jc w:val="both"/>
        <w:rPr>
          <w:rFonts w:eastAsia="Helv"/>
          <w:b/>
          <w:b/>
          <w:sz w:val="22"/>
          <w:szCs w:val="22"/>
          <w:lang w:eastAsia="ru-RU"/>
        </w:rPr>
      </w:pPr>
      <w:r>
        <w:rPr>
          <w:rFonts w:eastAsia="Helv"/>
          <w:b/>
          <w:sz w:val="22"/>
          <w:szCs w:val="22"/>
          <w:lang w:eastAsia="ru-RU"/>
        </w:rPr>
      </w:r>
    </w:p>
    <w:p>
      <w:pPr>
        <w:pStyle w:val="Standard"/>
        <w:numPr>
          <w:ilvl w:val="1"/>
          <w:numId w:val="1"/>
        </w:numPr>
        <w:ind w:left="0" w:firstLine="360"/>
        <w:jc w:val="both"/>
        <w:rPr>
          <w:rFonts w:eastAsia="Calibri"/>
          <w:color w:val="000000"/>
          <w:sz w:val="22"/>
          <w:szCs w:val="22"/>
        </w:rPr>
      </w:pPr>
      <w:r>
        <w:rPr>
          <w:rFonts w:eastAsia="Calibri"/>
          <w:color w:val="000000"/>
          <w:sz w:val="22"/>
          <w:szCs w:val="22"/>
        </w:rPr>
        <w:t xml:space="preserve"> </w:t>
      </w:r>
      <w:r>
        <w:rPr>
          <w:rFonts w:eastAsia="Calibri"/>
          <w:color w:val="000000"/>
          <w:sz w:val="22"/>
          <w:szCs w:val="22"/>
        </w:rPr>
        <w:t xml:space="preserve">Водитель следит за качеством погрузки. Водитель принимает груз к перевозке по количеству товарных мест без пересчета (взвешивания) внутритарного вложения. </w:t>
      </w:r>
    </w:p>
    <w:p>
      <w:pPr>
        <w:pStyle w:val="Standard"/>
        <w:numPr>
          <w:ilvl w:val="1"/>
          <w:numId w:val="1"/>
        </w:numPr>
        <w:ind w:left="0" w:firstLine="360"/>
        <w:jc w:val="both"/>
        <w:rPr>
          <w:rFonts w:eastAsia="Calibri"/>
          <w:color w:val="000000"/>
          <w:sz w:val="22"/>
          <w:szCs w:val="22"/>
        </w:rPr>
      </w:pPr>
      <w:r>
        <w:rPr>
          <w:rFonts w:eastAsia="Calibri"/>
          <w:color w:val="000000"/>
          <w:sz w:val="22"/>
          <w:szCs w:val="22"/>
        </w:rPr>
        <w:t>Водитель сдает груз по количеству грузовых мест.</w:t>
      </w:r>
    </w:p>
    <w:p>
      <w:pPr>
        <w:pStyle w:val="Standard"/>
        <w:numPr>
          <w:ilvl w:val="1"/>
          <w:numId w:val="1"/>
        </w:numPr>
        <w:ind w:left="0" w:firstLine="360"/>
        <w:jc w:val="both"/>
        <w:rPr>
          <w:rFonts w:eastAsia="Calibri"/>
          <w:color w:val="000000"/>
          <w:sz w:val="22"/>
          <w:szCs w:val="22"/>
        </w:rPr>
      </w:pPr>
      <w:r>
        <w:rPr>
          <w:rFonts w:eastAsia="Calibri"/>
          <w:color w:val="000000"/>
          <w:sz w:val="22"/>
          <w:szCs w:val="22"/>
        </w:rPr>
        <w:t>Водитель несет полную материальную ответственность за принятый к перевозке груз.</w:t>
      </w:r>
    </w:p>
    <w:p>
      <w:pPr>
        <w:pStyle w:val="Standard"/>
        <w:numPr>
          <w:ilvl w:val="1"/>
          <w:numId w:val="1"/>
        </w:numPr>
        <w:ind w:left="0" w:firstLine="360"/>
        <w:jc w:val="both"/>
        <w:rPr>
          <w:rFonts w:eastAsia="Calibri"/>
          <w:color w:val="000000"/>
          <w:sz w:val="22"/>
          <w:szCs w:val="22"/>
        </w:rPr>
      </w:pPr>
      <w:r>
        <w:rPr>
          <w:rFonts w:eastAsia="Calibri"/>
          <w:color w:val="000000"/>
          <w:sz w:val="22"/>
          <w:szCs w:val="22"/>
        </w:rPr>
        <w:t>При обнаружении целостности грузовых мест в момент погрузки водитель требует их замены от отправителя.</w:t>
      </w:r>
    </w:p>
    <w:p>
      <w:pPr>
        <w:pStyle w:val="Standard"/>
        <w:numPr>
          <w:ilvl w:val="0"/>
          <w:numId w:val="0"/>
        </w:numPr>
        <w:ind w:left="0" w:hanging="0"/>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jc w:val="both"/>
        <w:rPr>
          <w:rFonts w:eastAsia="Calibri"/>
          <w:b/>
          <w:b/>
          <w:color w:val="000000"/>
          <w:sz w:val="22"/>
          <w:szCs w:val="22"/>
          <w:shd w:fill="FFFFFF" w:val="clear"/>
        </w:rPr>
      </w:pPr>
      <w:r>
        <w:rPr>
          <w:rFonts w:eastAsia="Calibri"/>
          <w:b/>
          <w:color w:val="000000"/>
          <w:sz w:val="22"/>
          <w:szCs w:val="22"/>
          <w:shd w:fill="FFFFFF" w:val="clear"/>
        </w:rPr>
      </w:r>
    </w:p>
    <w:p>
      <w:pPr>
        <w:pStyle w:val="Standard"/>
        <w:numPr>
          <w:ilvl w:val="0"/>
          <w:numId w:val="1"/>
        </w:numPr>
        <w:jc w:val="both"/>
        <w:rPr>
          <w:rFonts w:eastAsia="Calibri"/>
          <w:b/>
          <w:b/>
          <w:sz w:val="22"/>
          <w:szCs w:val="22"/>
        </w:rPr>
      </w:pPr>
      <w:r>
        <w:rPr>
          <w:rFonts w:eastAsia="Calibri"/>
          <w:b/>
          <w:sz w:val="22"/>
          <w:szCs w:val="22"/>
        </w:rPr>
        <w:t xml:space="preserve">Место </w:t>
      </w:r>
      <w:r>
        <w:rPr>
          <w:rFonts w:eastAsia="Calibri"/>
          <w:b/>
          <w:color w:val="000000"/>
          <w:sz w:val="22"/>
          <w:szCs w:val="22"/>
          <w:shd w:fill="FFFFFF" w:val="clear"/>
        </w:rPr>
        <w:t>поставки</w:t>
      </w:r>
      <w:r>
        <w:rPr>
          <w:rFonts w:eastAsia="Calibri"/>
          <w:b/>
          <w:sz w:val="22"/>
          <w:szCs w:val="22"/>
        </w:rPr>
        <w:t>, порядок сдачи и приемки</w:t>
      </w:r>
    </w:p>
    <w:p>
      <w:pPr>
        <w:pStyle w:val="Standard"/>
        <w:numPr>
          <w:ilvl w:val="1"/>
          <w:numId w:val="1"/>
        </w:numPr>
        <w:ind w:left="0" w:firstLine="360"/>
        <w:jc w:val="both"/>
        <w:rPr>
          <w:rFonts w:eastAsia="Calibri"/>
          <w:color w:val="000000"/>
          <w:sz w:val="22"/>
          <w:szCs w:val="22"/>
        </w:rPr>
      </w:pPr>
      <w:r>
        <w:rPr>
          <w:rFonts w:eastAsia="Calibri"/>
          <w:color w:val="000000"/>
          <w:sz w:val="22"/>
          <w:szCs w:val="22"/>
          <w:shd w:fill="FFFFFF" w:val="clear"/>
        </w:rPr>
        <w:t>Адрес погрузки: Россия, г. Старый Оскол Белгородская область, ст. Котел, Промузел Монтажная, проезд Ш-6, здание 1</w:t>
      </w:r>
    </w:p>
    <w:p>
      <w:pPr>
        <w:pStyle w:val="Standard"/>
        <w:numPr>
          <w:ilvl w:val="1"/>
          <w:numId w:val="1"/>
        </w:numPr>
        <w:ind w:left="0" w:firstLine="360"/>
        <w:jc w:val="both"/>
        <w:rPr>
          <w:rFonts w:eastAsia="Calibri"/>
          <w:color w:val="000000"/>
          <w:sz w:val="22"/>
          <w:szCs w:val="22"/>
        </w:rPr>
      </w:pPr>
      <w:r>
        <w:rPr>
          <w:rFonts w:eastAsia="Calibri"/>
          <w:color w:val="000000"/>
          <w:sz w:val="22"/>
          <w:szCs w:val="22"/>
          <w:shd w:fill="FFFFFF" w:val="clear"/>
        </w:rPr>
        <w:t xml:space="preserve">Адрес выгрузки: </w:t>
      </w:r>
      <w:r>
        <w:rPr>
          <w:rFonts w:eastAsia="Calibri"/>
          <w:color w:val="000000"/>
          <w:sz w:val="22"/>
          <w:szCs w:val="22"/>
          <w:shd w:fill="FFFFFF" w:val="clear"/>
          <w:lang w:val="ru-RU"/>
        </w:rPr>
        <w:t>Россия, г.</w:t>
      </w:r>
      <w:r>
        <w:rPr>
          <w:rFonts w:eastAsia="Calibri"/>
          <w:color w:val="000000"/>
          <w:sz w:val="22"/>
          <w:szCs w:val="22"/>
          <w:shd w:fill="FFFFFF" w:val="clear"/>
        </w:rPr>
        <w:t>Новосибирск, Красный проспект, д. 220, корпус 33.</w:t>
      </w:r>
    </w:p>
    <w:p>
      <w:pPr>
        <w:pStyle w:val="Standard"/>
        <w:numPr>
          <w:ilvl w:val="1"/>
          <w:numId w:val="1"/>
        </w:numPr>
        <w:ind w:left="0" w:firstLine="360"/>
        <w:jc w:val="both"/>
        <w:rPr>
          <w:rFonts w:eastAsia="Calibri"/>
          <w:color w:val="000000"/>
          <w:sz w:val="22"/>
          <w:szCs w:val="22"/>
        </w:rPr>
      </w:pPr>
      <w:r>
        <w:rPr>
          <w:rFonts w:eastAsia="Calibri"/>
          <w:color w:val="000000"/>
          <w:sz w:val="22"/>
          <w:szCs w:val="22"/>
        </w:rPr>
        <w:t>Время погрузки товара: понедельник – пятница (с 9:00 до 16:00, с 12:00 до 13:00 обеденный перерыв), суббота воскресенье – выходной.</w:t>
      </w:r>
    </w:p>
    <w:p>
      <w:pPr>
        <w:pStyle w:val="Standard"/>
        <w:numPr>
          <w:ilvl w:val="1"/>
          <w:numId w:val="1"/>
        </w:numPr>
        <w:ind w:left="0" w:firstLine="360"/>
        <w:jc w:val="both"/>
        <w:rPr>
          <w:rFonts w:eastAsia="Calibri"/>
          <w:color w:val="000000"/>
          <w:sz w:val="22"/>
          <w:szCs w:val="22"/>
        </w:rPr>
      </w:pPr>
      <w:r>
        <w:rPr>
          <w:rFonts w:eastAsia="Calibri"/>
          <w:color w:val="000000"/>
          <w:sz w:val="22"/>
          <w:szCs w:val="22"/>
        </w:rPr>
        <w:t>Время выгрузки товара: понедельник – пятница (с 7:00 до 16:00, с 12:00 до 13:00 обеденный перерыв), суббота воскресенье – выходной.</w:t>
      </w:r>
    </w:p>
    <w:p>
      <w:pPr>
        <w:pStyle w:val="Standard"/>
        <w:numPr>
          <w:ilvl w:val="0"/>
          <w:numId w:val="0"/>
        </w:numPr>
        <w:ind w:left="0" w:hanging="0"/>
        <w:jc w:val="both"/>
        <w:rPr>
          <w:rFonts w:eastAsia="Calibri"/>
          <w:color w:val="000000"/>
          <w:sz w:val="22"/>
          <w:szCs w:val="22"/>
        </w:rPr>
      </w:pPr>
      <w:r>
        <w:rPr>
          <w:rFonts w:eastAsia="Calibri"/>
          <w:color w:val="000000"/>
          <w:sz w:val="22"/>
          <w:szCs w:val="22"/>
        </w:rPr>
      </w:r>
      <w:bookmarkStart w:id="0" w:name="_GoBack"/>
      <w:bookmarkStart w:id="1" w:name="_GoBack"/>
      <w:bookmarkEnd w:id="1"/>
    </w:p>
    <w:p>
      <w:pPr>
        <w:pStyle w:val="Standard"/>
        <w:jc w:val="both"/>
        <w:rPr>
          <w:rFonts w:eastAsia="Calibri"/>
          <w:color w:val="000000"/>
          <w:sz w:val="22"/>
          <w:szCs w:val="22"/>
        </w:rPr>
      </w:pPr>
      <w:r>
        <w:rPr>
          <w:rFonts w:eastAsia="Calibri"/>
          <w:color w:val="000000"/>
          <w:sz w:val="22"/>
          <w:szCs w:val="22"/>
        </w:rPr>
      </w:r>
    </w:p>
    <w:p>
      <w:pPr>
        <w:pStyle w:val="Standard"/>
        <w:ind w:left="360" w:hanging="0"/>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jc w:val="both"/>
        <w:rPr>
          <w:rFonts w:eastAsia="Calibri"/>
          <w:b/>
          <w:b/>
          <w:sz w:val="22"/>
          <w:szCs w:val="22"/>
          <w:highlight w:val="lightGray"/>
        </w:rPr>
      </w:pPr>
      <w:r>
        <w:rPr>
          <w:rFonts w:eastAsia="Calibri"/>
          <w:b/>
          <w:sz w:val="22"/>
          <w:szCs w:val="22"/>
          <w:highlight w:val="lightGray"/>
        </w:rPr>
      </w:r>
    </w:p>
    <w:p>
      <w:pPr>
        <w:pStyle w:val="Standard"/>
        <w:ind w:left="360" w:hanging="0"/>
        <w:jc w:val="both"/>
        <w:rPr>
          <w:rFonts w:eastAsia="Calibri"/>
          <w:color w:val="000000"/>
          <w:sz w:val="22"/>
          <w:szCs w:val="22"/>
        </w:rPr>
      </w:pPr>
      <w:r>
        <w:rPr>
          <w:rFonts w:eastAsia="Calibri"/>
          <w:color w:val="000000"/>
          <w:sz w:val="22"/>
          <w:szCs w:val="22"/>
        </w:rPr>
      </w:r>
    </w:p>
    <w:p>
      <w:pPr>
        <w:pStyle w:val="Standard"/>
        <w:jc w:val="both"/>
        <w:rPr>
          <w:rFonts w:eastAsia="Calibri"/>
          <w:color w:val="000000"/>
          <w:sz w:val="22"/>
          <w:szCs w:val="22"/>
        </w:rPr>
      </w:pPr>
      <w:r>
        <w:rPr>
          <w:rFonts w:eastAsia="Calibri"/>
          <w:color w:val="000000"/>
          <w:sz w:val="22"/>
          <w:szCs w:val="22"/>
        </w:rPr>
      </w:r>
    </w:p>
    <w:p>
      <w:pPr>
        <w:pStyle w:val="Standard"/>
        <w:ind w:left="-284" w:hanging="0"/>
        <w:jc w:val="both"/>
        <w:rPr>
          <w:rFonts w:eastAsia="NSimSun"/>
          <w:color w:val="000000"/>
          <w:lang w:bidi="hi-IN"/>
        </w:rPr>
      </w:pPr>
      <w:r>
        <w:rPr>
          <w:rFonts w:eastAsia="NSimSun"/>
          <w:color w:val="000000"/>
          <w:lang w:bidi="hi-IN"/>
        </w:rPr>
      </w:r>
    </w:p>
    <w:p>
      <w:pPr>
        <w:pStyle w:val="Standard"/>
        <w:ind w:left="-284" w:hanging="0"/>
        <w:jc w:val="both"/>
        <w:rPr>
          <w:rFonts w:eastAsia="SimSun"/>
        </w:rPr>
      </w:pPr>
      <w:r>
        <w:rPr>
          <w:rFonts w:eastAsia="SimSun"/>
        </w:rPr>
      </w:r>
    </w:p>
    <w:p>
      <w:pPr>
        <w:pStyle w:val="ListParagraph"/>
        <w:ind w:left="1074" w:hanging="0"/>
        <w:jc w:val="both"/>
        <w:rPr>
          <w:rFonts w:eastAsia="Calibri"/>
          <w:b/>
          <w:b/>
          <w:color w:val="000000"/>
          <w:shd w:fill="FFFFFF" w:val="clear"/>
        </w:rPr>
      </w:pPr>
      <w:r>
        <w:rPr>
          <w:rFonts w:eastAsia="Calibri"/>
          <w:b/>
          <w:color w:val="000000"/>
          <w:shd w:fill="FFFFFF" w:val="clear"/>
        </w:rPr>
      </w:r>
      <w:bookmarkStart w:id="2" w:name="Bookmark"/>
      <w:bookmarkStart w:id="3" w:name="Bookmark"/>
      <w:bookmarkEnd w:id="3"/>
    </w:p>
    <w:p>
      <w:pPr>
        <w:pStyle w:val="Normal"/>
        <w:rPr>
          <w:rFonts w:eastAsia="Calibri"/>
          <w:b/>
          <w:b/>
          <w:highlight w:val="lightGray"/>
        </w:rPr>
      </w:pPr>
      <w:r>
        <w:rPr/>
      </w:r>
    </w:p>
    <w:sectPr>
      <w:type w:val="nextPage"/>
      <w:pgSz w:w="11906" w:h="16838"/>
      <w:pgMar w:left="1134" w:right="617" w:gutter="0" w:header="0" w:top="964" w:footer="0" w:bottom="777"/>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swiss"/>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98" w:hanging="714"/>
      </w:pPr>
      <w:rPr/>
    </w:lvl>
    <w:lvl w:ilvl="1">
      <w:start w:val="1"/>
      <w:numFmt w:val="decimal"/>
      <w:lvlText w:val="%1.%2."/>
      <w:lvlJc w:val="left"/>
      <w:pPr>
        <w:tabs>
          <w:tab w:val="num" w:pos="0"/>
        </w:tabs>
        <w:ind w:left="1140" w:hanging="714"/>
      </w:pPr>
      <w:rPr>
        <w:rFonts w:eastAsia="Calibri"/>
        <w:color w:val="000000"/>
      </w:rPr>
    </w:lvl>
    <w:lvl w:ilvl="2">
      <w:start w:val="1"/>
      <w:numFmt w:val="decimal"/>
      <w:lvlText w:val="%1.%2.%3."/>
      <w:lvlJc w:val="left"/>
      <w:pPr>
        <w:tabs>
          <w:tab w:val="num" w:pos="0"/>
        </w:tabs>
        <w:ind w:left="1080" w:hanging="720"/>
      </w:pPr>
      <w:rPr>
        <w:rFonts w:eastAsia="Calibri"/>
        <w:color w:val="000000"/>
      </w:rPr>
    </w:lvl>
    <w:lvl w:ilvl="3">
      <w:start w:val="1"/>
      <w:numFmt w:val="decimal"/>
      <w:lvlText w:val="%1.%2.%3.%4."/>
      <w:lvlJc w:val="left"/>
      <w:pPr>
        <w:tabs>
          <w:tab w:val="num" w:pos="0"/>
        </w:tabs>
        <w:ind w:left="1080" w:hanging="720"/>
      </w:pPr>
      <w:rPr>
        <w:rFonts w:eastAsia="Calibri"/>
        <w:color w:val="000000"/>
      </w:rPr>
    </w:lvl>
    <w:lvl w:ilvl="4">
      <w:start w:val="1"/>
      <w:numFmt w:val="decimal"/>
      <w:lvlText w:val="%1.%2.%3.%4.%5."/>
      <w:lvlJc w:val="left"/>
      <w:pPr>
        <w:tabs>
          <w:tab w:val="num" w:pos="0"/>
        </w:tabs>
        <w:ind w:left="1440" w:hanging="1080"/>
      </w:pPr>
      <w:rPr>
        <w:rFonts w:eastAsia="Calibri"/>
        <w:color w:val="000000"/>
      </w:rPr>
    </w:lvl>
    <w:lvl w:ilvl="5">
      <w:start w:val="1"/>
      <w:numFmt w:val="decimal"/>
      <w:lvlText w:val="%1.%2.%3.%4.%5.%6."/>
      <w:lvlJc w:val="left"/>
      <w:pPr>
        <w:tabs>
          <w:tab w:val="num" w:pos="0"/>
        </w:tabs>
        <w:ind w:left="1440" w:hanging="1080"/>
      </w:pPr>
      <w:rPr>
        <w:rFonts w:eastAsia="Calibri"/>
        <w:color w:val="000000"/>
      </w:rPr>
    </w:lvl>
    <w:lvl w:ilvl="6">
      <w:start w:val="1"/>
      <w:numFmt w:val="decimal"/>
      <w:lvlText w:val="%1.%2.%3.%4.%5.%6.%7."/>
      <w:lvlJc w:val="left"/>
      <w:pPr>
        <w:tabs>
          <w:tab w:val="num" w:pos="0"/>
        </w:tabs>
        <w:ind w:left="1800" w:hanging="1440"/>
      </w:pPr>
      <w:rPr>
        <w:rFonts w:eastAsia="Calibri"/>
        <w:color w:val="000000"/>
      </w:rPr>
    </w:lvl>
    <w:lvl w:ilvl="7">
      <w:start w:val="1"/>
      <w:numFmt w:val="decimal"/>
      <w:lvlText w:val="%1.%2.%3.%4.%5.%6.%7.%8."/>
      <w:lvlJc w:val="left"/>
      <w:pPr>
        <w:tabs>
          <w:tab w:val="num" w:pos="0"/>
        </w:tabs>
        <w:ind w:left="1800" w:hanging="1440"/>
      </w:pPr>
      <w:rPr>
        <w:rFonts w:eastAsia="Calibri"/>
        <w:color w:val="000000"/>
      </w:rPr>
    </w:lvl>
    <w:lvl w:ilvl="8">
      <w:start w:val="1"/>
      <w:numFmt w:val="decimal"/>
      <w:lvlText w:val="%1.%2.%3.%4.%5.%6.%7.%8.%9."/>
      <w:lvlJc w:val="left"/>
      <w:pPr>
        <w:tabs>
          <w:tab w:val="num" w:pos="0"/>
        </w:tabs>
        <w:ind w:left="2160" w:hanging="1800"/>
      </w:pPr>
      <w:rPr>
        <w:rFonts w:eastAsia="Calibri"/>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kern w:val="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1">
    <w:name w:val="Heading 1"/>
    <w:basedOn w:val="Standard"/>
    <w:next w:val="Textbody"/>
    <w:qFormat/>
    <w:pPr>
      <w:tabs>
        <w:tab w:val="clear" w:pos="708"/>
        <w:tab w:val="left" w:pos="0" w:leader="none"/>
      </w:tabs>
      <w:spacing w:before="280" w:after="280"/>
      <w:outlineLvl w:val="0"/>
    </w:pPr>
    <w:rPr>
      <w:b/>
      <w:bCs/>
      <w:sz w:val="48"/>
      <w:szCs w:val="48"/>
    </w:rPr>
  </w:style>
  <w:style w:type="paragraph" w:styleId="2">
    <w:name w:val="Heading 2"/>
    <w:basedOn w:val="Standard"/>
    <w:next w:val="Textbody"/>
    <w:qFormat/>
    <w:pPr>
      <w:keepNext w:val="true"/>
      <w:tabs>
        <w:tab w:val="clear" w:pos="708"/>
        <w:tab w:val="left" w:pos="0" w:leader="none"/>
      </w:tabs>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4" w:customStyle="1">
    <w:name w:val="Основной шрифт абзаца4"/>
    <w:qFormat/>
    <w:rPr/>
  </w:style>
  <w:style w:type="character" w:styleId="WW8Num2z0" w:customStyle="1">
    <w:name w:val="WW8Num2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bidi="ru-RU"/>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bidi="ru-RU"/>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rFonts w:ascii="Times New Roman" w:hAnsi="Times New Roman" w:cs="Times New Roman"/>
      <w:b/>
      <w:bCs/>
      <w:i w:val="false"/>
      <w:iCs w:val="false"/>
      <w:caps w:val="false"/>
      <w:smallCaps w:val="false"/>
      <w:strike w:val="false"/>
      <w:dstrike w:val="false"/>
      <w:color w:val="000000"/>
      <w:spacing w:val="0"/>
      <w:w w:val="100"/>
      <w:sz w:val="22"/>
      <w:szCs w:val="22"/>
      <w:u w:val="none"/>
      <w:lang w:val="ru-RU" w:bidi="ru-RU"/>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bidi="ru-RU"/>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Times New Roman" w:hAnsi="Times New Roman" w:cs="Times New Roman"/>
      <w:b/>
      <w:bCs/>
      <w:i w:val="false"/>
      <w:iCs w:val="false"/>
      <w:caps w:val="false"/>
      <w:smallCaps w:val="false"/>
      <w:strike w:val="false"/>
      <w:dstrike w:val="false"/>
      <w:color w:val="000000"/>
      <w:spacing w:val="0"/>
      <w:w w:val="100"/>
      <w:sz w:val="22"/>
      <w:szCs w:val="22"/>
      <w:u w:val="none"/>
      <w:lang w:val="ru-RU" w:bidi="ru-RU"/>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Times New Roman" w:hAnsi="Times New Roman" w:cs="Times New Roman"/>
      <w:b w:val="false"/>
      <w:bCs w:val="false"/>
      <w:i w:val="false"/>
      <w:iCs w:val="false"/>
      <w:caps w:val="false"/>
      <w:smallCaps w:val="false"/>
      <w:strike w:val="false"/>
      <w:dstrike w:val="false"/>
      <w:color w:val="000000"/>
      <w:spacing w:val="0"/>
      <w:w w:val="100"/>
      <w:sz w:val="21"/>
      <w:szCs w:val="21"/>
      <w:u w:val="none"/>
      <w:lang w:val="ru-RU" w:bidi="ru-RU"/>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bidi="ru-RU"/>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rFonts w:ascii="Times New Roman" w:hAnsi="Times New Roman" w:cs="Times New Roman"/>
      <w:b w:val="false"/>
      <w:bCs w:val="false"/>
      <w:i w:val="false"/>
      <w:iCs w:val="false"/>
      <w:caps w:val="false"/>
      <w:smallCaps w:val="false"/>
      <w:strike w:val="false"/>
      <w:dstrike w:val="false"/>
      <w:color w:val="000000"/>
      <w:spacing w:val="0"/>
      <w:w w:val="100"/>
      <w:sz w:val="21"/>
      <w:szCs w:val="21"/>
      <w:u w:val="none"/>
      <w:lang w:val="ru-RU" w:bidi="ru-RU"/>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bidi="ru-RU"/>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3" w:customStyle="1">
    <w:name w:val="Основной шрифт абзаца3"/>
    <w:qFormat/>
    <w:rPr/>
  </w:style>
  <w:style w:type="character" w:styleId="21" w:customStyle="1">
    <w:name w:val="Основной шрифт абзаца2"/>
    <w:qFormat/>
    <w:rPr/>
  </w:style>
  <w:style w:type="character" w:styleId="11" w:customStyle="1">
    <w:name w:val="Основной шрифт абзаца1"/>
    <w:qFormat/>
    <w:rPr/>
  </w:style>
  <w:style w:type="character" w:styleId="Style12">
    <w:name w:val="Интернет-ссылка"/>
    <w:basedOn w:val="DefaultParagraphFont"/>
    <w:uiPriority w:val="99"/>
    <w:semiHidden/>
    <w:unhideWhenUsed/>
    <w:rsid w:val="009b09b4"/>
    <w:rPr>
      <w:color w:val="0000FF"/>
      <w:u w:val="single"/>
    </w:rPr>
  </w:style>
  <w:style w:type="character" w:styleId="12" w:customStyle="1">
    <w:name w:val="Заголовок 1 Знак"/>
    <w:qFormat/>
    <w:rPr>
      <w:b/>
      <w:bCs/>
      <w:kern w:val="2"/>
      <w:sz w:val="48"/>
      <w:szCs w:val="48"/>
    </w:rPr>
  </w:style>
  <w:style w:type="character" w:styleId="22" w:customStyle="1">
    <w:name w:val="Заголовок 2 Знак"/>
    <w:qFormat/>
    <w:rPr>
      <w:rFonts w:ascii="Cambria" w:hAnsi="Cambria" w:eastAsia="Times New Roman" w:cs="Times New Roman"/>
      <w:b/>
      <w:bCs/>
      <w:i/>
      <w:iCs/>
      <w:sz w:val="28"/>
      <w:szCs w:val="28"/>
    </w:rPr>
  </w:style>
  <w:style w:type="character" w:styleId="Style13" w:customStyle="1">
    <w:name w:val="Текст выноски Знак"/>
    <w:qFormat/>
    <w:rPr>
      <w:rFonts w:ascii="Tahoma" w:hAnsi="Tahoma" w:cs="Tahoma"/>
      <w:sz w:val="16"/>
      <w:szCs w:val="16"/>
      <w:lang w:eastAsia="zh-CN"/>
    </w:rPr>
  </w:style>
  <w:style w:type="character" w:styleId="8" w:customStyle="1">
    <w:name w:val="Основной шрифт абзаца8"/>
    <w:qFormat/>
    <w:rPr/>
  </w:style>
  <w:style w:type="character" w:styleId="Cardmaininfocontent" w:customStyle="1">
    <w:name w:val="cardmaininfo__content"/>
    <w:basedOn w:val="8"/>
    <w:qFormat/>
    <w:rPr/>
  </w:style>
  <w:style w:type="character" w:styleId="Copytarget" w:customStyle="1">
    <w:name w:val="copy_target"/>
    <w:basedOn w:val="8"/>
    <w:qFormat/>
    <w:rPr/>
  </w:style>
  <w:style w:type="character" w:styleId="23" w:customStyle="1">
    <w:name w:val="Основной текст (2)_"/>
    <w:qFormat/>
    <w:rPr>
      <w:rFonts w:ascii="Times New Roman" w:hAnsi="Times New Roman" w:eastAsia="Times New Roman" w:cs="Times New Roman"/>
      <w:b w:val="false"/>
      <w:bCs w:val="false"/>
      <w:i w:val="false"/>
      <w:iCs w:val="false"/>
      <w:caps w:val="false"/>
      <w:smallCaps w:val="false"/>
      <w:strike w:val="false"/>
      <w:dstrike w:val="false"/>
      <w:sz w:val="21"/>
      <w:szCs w:val="21"/>
      <w:u w:val="none"/>
    </w:rPr>
  </w:style>
  <w:style w:type="character" w:styleId="211pt" w:customStyle="1">
    <w:name w:val="Основной текст (2) + 11 pt;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single"/>
      <w:lang w:val="ru-RU" w:bidi="ru-RU"/>
    </w:rPr>
  </w:style>
  <w:style w:type="character" w:styleId="24" w:customStyle="1">
    <w:name w:val="Основной текст (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lang w:val="ru-RU" w:bidi="ru-RU"/>
    </w:rPr>
  </w:style>
  <w:style w:type="character" w:styleId="25" w:customStyle="1">
    <w:name w:val="Основной текст (2)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bidi="ru-RU"/>
    </w:rPr>
  </w:style>
  <w:style w:type="character" w:styleId="ConsPlusNormal" w:customStyle="1">
    <w:name w:val="ConsPlusNormal Знак"/>
    <w:qFormat/>
    <w:rPr>
      <w:rFonts w:ascii="Arial" w:hAnsi="Arial" w:eastAsia="NSimSun" w:cs="Arial"/>
      <w:sz w:val="24"/>
      <w:szCs w:val="24"/>
      <w:lang w:eastAsia="zh-CN" w:bidi="hi-IN"/>
    </w:rPr>
  </w:style>
  <w:style w:type="character" w:styleId="Style14" w:customStyle="1">
    <w:name w:val="Верхний колонтитул Знак"/>
    <w:basedOn w:val="DefaultParagraphFont"/>
    <w:qFormat/>
    <w:rPr>
      <w:sz w:val="24"/>
      <w:szCs w:val="24"/>
      <w:lang w:eastAsia="zh-CN"/>
    </w:rPr>
  </w:style>
  <w:style w:type="character" w:styleId="Style15" w:customStyle="1">
    <w:name w:val="Нижний колонтитул Знак"/>
    <w:basedOn w:val="DefaultParagraphFont"/>
    <w:qFormat/>
    <w:rPr>
      <w:sz w:val="24"/>
      <w:szCs w:val="24"/>
      <w:lang w:eastAsia="zh-CN"/>
    </w:rPr>
  </w:style>
  <w:style w:type="paragraph" w:styleId="Style16" w:customStyle="1">
    <w:name w:val="Заголовок"/>
    <w:basedOn w:val="Standard"/>
    <w:next w:val="Textbody"/>
    <w:qFormat/>
    <w:pPr>
      <w:keepNext w:val="true"/>
      <w:spacing w:before="240" w:after="120"/>
    </w:pPr>
    <w:rPr>
      <w:rFonts w:ascii="Arial" w:hAnsi="Arial"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Textbody"/>
    <w:pPr/>
    <w:rPr>
      <w:rFonts w:cs="Arial"/>
    </w:rPr>
  </w:style>
  <w:style w:type="paragraph" w:styleId="Style19">
    <w:name w:val="Caption"/>
    <w:basedOn w:val="Normal"/>
    <w:qFormat/>
    <w:pPr>
      <w:suppressLineNumbers/>
      <w:spacing w:before="120" w:after="120"/>
    </w:pPr>
    <w:rPr>
      <w:rFonts w:cs="Lucida Sans"/>
      <w:i/>
      <w:iCs/>
      <w:sz w:val="24"/>
      <w:szCs w:val="24"/>
    </w:rPr>
  </w:style>
  <w:style w:type="paragraph" w:styleId="Style20" w:customStyle="1">
    <w:name w:val="Указатель"/>
    <w:basedOn w:val="Standard"/>
    <w:qFormat/>
    <w:pPr>
      <w:suppressLineNumbers/>
    </w:pPr>
    <w:rPr>
      <w:rFonts w:cs="Lucida San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rFonts w:cs="Arial"/>
      <w:i/>
      <w:iCs/>
    </w:rPr>
  </w:style>
  <w:style w:type="paragraph" w:styleId="Style21">
    <w:name w:val="Title"/>
    <w:basedOn w:val="Standard"/>
    <w:next w:val="Style22"/>
    <w:qFormat/>
    <w:pPr>
      <w:keepNext w:val="true"/>
      <w:spacing w:before="240" w:after="120"/>
    </w:pPr>
    <w:rPr>
      <w:rFonts w:ascii="Liberation Sans" w:hAnsi="Liberation Sans" w:eastAsia="Microsoft YaHei" w:cs="Arial"/>
      <w:b/>
      <w:bCs/>
      <w:sz w:val="28"/>
      <w:szCs w:val="28"/>
    </w:rPr>
  </w:style>
  <w:style w:type="paragraph" w:styleId="Style22">
    <w:name w:val="Subtitle"/>
    <w:basedOn w:val="Style16"/>
    <w:next w:val="Textbody"/>
    <w:qFormat/>
    <w:pPr>
      <w:jc w:val="center"/>
    </w:pPr>
    <w:rPr>
      <w:i/>
      <w:iCs/>
    </w:rPr>
  </w:style>
  <w:style w:type="paragraph" w:styleId="71" w:customStyle="1">
    <w:name w:val="Указатель7"/>
    <w:basedOn w:val="Standard"/>
    <w:qFormat/>
    <w:pPr>
      <w:suppressLineNumbers/>
    </w:pPr>
    <w:rPr>
      <w:rFonts w:cs="Arial"/>
    </w:rPr>
  </w:style>
  <w:style w:type="paragraph" w:styleId="61" w:customStyle="1">
    <w:name w:val="Название объекта6"/>
    <w:basedOn w:val="Standard"/>
    <w:qFormat/>
    <w:pPr>
      <w:suppressLineNumbers/>
      <w:spacing w:before="120" w:after="120"/>
    </w:pPr>
    <w:rPr>
      <w:rFonts w:cs="Arial"/>
      <w:i/>
      <w:iCs/>
    </w:rPr>
  </w:style>
  <w:style w:type="paragraph" w:styleId="62" w:customStyle="1">
    <w:name w:val="Указатель6"/>
    <w:basedOn w:val="Standard"/>
    <w:qFormat/>
    <w:pPr>
      <w:suppressLineNumbers/>
    </w:pPr>
    <w:rPr>
      <w:rFonts w:cs="Arial"/>
    </w:rPr>
  </w:style>
  <w:style w:type="paragraph" w:styleId="51" w:customStyle="1">
    <w:name w:val="Название объекта5"/>
    <w:basedOn w:val="Standard"/>
    <w:qFormat/>
    <w:pPr>
      <w:suppressLineNumbers/>
      <w:spacing w:before="120" w:after="120"/>
    </w:pPr>
    <w:rPr>
      <w:rFonts w:cs="Arial"/>
      <w:i/>
      <w:iCs/>
    </w:rPr>
  </w:style>
  <w:style w:type="paragraph" w:styleId="52" w:customStyle="1">
    <w:name w:val="Указатель5"/>
    <w:basedOn w:val="Standard"/>
    <w:qFormat/>
    <w:pPr>
      <w:suppressLineNumbers/>
    </w:pPr>
    <w:rPr>
      <w:rFonts w:cs="Arial"/>
    </w:rPr>
  </w:style>
  <w:style w:type="paragraph" w:styleId="31" w:customStyle="1">
    <w:name w:val="Заголовок3"/>
    <w:basedOn w:val="Standard"/>
    <w:qFormat/>
    <w:pPr>
      <w:keepNext w:val="true"/>
      <w:spacing w:before="240" w:after="120"/>
    </w:pPr>
    <w:rPr>
      <w:rFonts w:ascii="Liberation Sans" w:hAnsi="Liberation Sans" w:eastAsia="Microsoft YaHei" w:cs="Arial"/>
      <w:sz w:val="28"/>
      <w:szCs w:val="28"/>
    </w:rPr>
  </w:style>
  <w:style w:type="paragraph" w:styleId="41" w:customStyle="1">
    <w:name w:val="Название объекта4"/>
    <w:basedOn w:val="Standard"/>
    <w:qFormat/>
    <w:pPr>
      <w:suppressLineNumbers/>
      <w:spacing w:before="120" w:after="120"/>
    </w:pPr>
    <w:rPr>
      <w:rFonts w:cs="Arial"/>
      <w:i/>
      <w:iCs/>
    </w:rPr>
  </w:style>
  <w:style w:type="paragraph" w:styleId="42" w:customStyle="1">
    <w:name w:val="Указатель4"/>
    <w:basedOn w:val="Standard"/>
    <w:qFormat/>
    <w:pPr>
      <w:suppressLineNumbers/>
    </w:pPr>
    <w:rPr>
      <w:rFonts w:cs="Arial"/>
    </w:rPr>
  </w:style>
  <w:style w:type="paragraph" w:styleId="26" w:customStyle="1">
    <w:name w:val="Заголовок2"/>
    <w:basedOn w:val="Standard"/>
    <w:qFormat/>
    <w:pPr>
      <w:keepNext w:val="true"/>
      <w:spacing w:before="240" w:after="120"/>
    </w:pPr>
    <w:rPr>
      <w:rFonts w:ascii="Liberation Sans" w:hAnsi="Liberation Sans" w:eastAsia="Microsoft YaHei" w:cs="Arial"/>
      <w:sz w:val="28"/>
      <w:szCs w:val="28"/>
    </w:rPr>
  </w:style>
  <w:style w:type="paragraph" w:styleId="32" w:customStyle="1">
    <w:name w:val="Название объекта3"/>
    <w:basedOn w:val="Standard"/>
    <w:qFormat/>
    <w:pPr>
      <w:suppressLineNumbers/>
      <w:spacing w:before="120" w:after="120"/>
    </w:pPr>
    <w:rPr>
      <w:rFonts w:cs="Arial"/>
      <w:i/>
      <w:iCs/>
    </w:rPr>
  </w:style>
  <w:style w:type="paragraph" w:styleId="33" w:customStyle="1">
    <w:name w:val="Указатель3"/>
    <w:basedOn w:val="Standard"/>
    <w:qFormat/>
    <w:pPr>
      <w:suppressLineNumbers/>
    </w:pPr>
    <w:rPr>
      <w:rFonts w:cs="Arial"/>
    </w:rPr>
  </w:style>
  <w:style w:type="paragraph" w:styleId="13" w:customStyle="1">
    <w:name w:val="Заголовок1"/>
    <w:basedOn w:val="Standard"/>
    <w:qFormat/>
    <w:pPr>
      <w:keepNext w:val="true"/>
      <w:spacing w:before="240" w:after="120"/>
    </w:pPr>
    <w:rPr>
      <w:rFonts w:ascii="Liberation Sans" w:hAnsi="Liberation Sans" w:eastAsia="Microsoft YaHei" w:cs="Arial"/>
      <w:sz w:val="28"/>
      <w:szCs w:val="28"/>
    </w:rPr>
  </w:style>
  <w:style w:type="paragraph" w:styleId="27" w:customStyle="1">
    <w:name w:val="Название объекта2"/>
    <w:basedOn w:val="Standard"/>
    <w:qFormat/>
    <w:pPr>
      <w:suppressLineNumbers/>
      <w:spacing w:before="120" w:after="120"/>
    </w:pPr>
    <w:rPr>
      <w:rFonts w:cs="Arial"/>
      <w:i/>
      <w:iCs/>
    </w:rPr>
  </w:style>
  <w:style w:type="paragraph" w:styleId="28" w:customStyle="1">
    <w:name w:val="Указатель2"/>
    <w:basedOn w:val="Standard"/>
    <w:qFormat/>
    <w:pPr>
      <w:suppressLineNumbers/>
    </w:pPr>
    <w:rPr>
      <w:rFonts w:cs="Arial"/>
    </w:rPr>
  </w:style>
  <w:style w:type="paragraph" w:styleId="14" w:customStyle="1">
    <w:name w:val="Название объекта1"/>
    <w:basedOn w:val="Standard"/>
    <w:qFormat/>
    <w:pPr>
      <w:suppressLineNumbers/>
      <w:spacing w:before="120" w:after="120"/>
    </w:pPr>
    <w:rPr>
      <w:rFonts w:cs="Arial"/>
      <w:i/>
      <w:iCs/>
    </w:rPr>
  </w:style>
  <w:style w:type="paragraph" w:styleId="15" w:customStyle="1">
    <w:name w:val="Указатель1"/>
    <w:basedOn w:val="Standard"/>
    <w:qFormat/>
    <w:pPr>
      <w:suppressLineNumbers/>
    </w:pPr>
    <w:rPr>
      <w:rFonts w:cs="Arial"/>
    </w:rPr>
  </w:style>
  <w:style w:type="paragraph" w:styleId="211" w:customStyle="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qFormat/>
    <w:pPr>
      <w:tabs>
        <w:tab w:val="clear" w:pos="708"/>
        <w:tab w:val="left" w:pos="2574" w:leader="none"/>
      </w:tabs>
      <w:spacing w:lineRule="exact" w:line="240" w:before="0" w:after="160"/>
      <w:ind w:left="1287" w:hanging="360"/>
      <w:jc w:val="both"/>
    </w:pPr>
    <w:rPr>
      <w:rFonts w:ascii="Verdana" w:hAnsi="Verdana" w:cs="Verdana"/>
      <w:sz w:val="20"/>
      <w:szCs w:val="20"/>
      <w:lang w:val="en-US"/>
    </w:rPr>
  </w:style>
  <w:style w:type="paragraph" w:styleId="NoSpacing">
    <w:name w:val="No Spacing"/>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ar-SA"/>
    </w:rPr>
  </w:style>
  <w:style w:type="paragraph" w:styleId="Style23" w:customStyle="1">
    <w:name w:val="Содержимое таблицы"/>
    <w:basedOn w:val="Standard"/>
    <w:qFormat/>
    <w:pPr>
      <w:widowControl w:val="false"/>
      <w:suppressLineNumbers/>
    </w:pPr>
    <w:rPr/>
  </w:style>
  <w:style w:type="paragraph" w:styleId="Style24" w:customStyle="1">
    <w:name w:val="Заголовок таблицы"/>
    <w:basedOn w:val="Style23"/>
    <w:qFormat/>
    <w:pPr>
      <w:jc w:val="center"/>
    </w:pPr>
    <w:rPr>
      <w:b/>
      <w:bCs/>
    </w:rPr>
  </w:style>
  <w:style w:type="paragraph" w:styleId="16" w:customStyle="1">
    <w:name w:val="Без интервала1"/>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zh-CN" w:bidi="hi-IN"/>
    </w:rPr>
  </w:style>
  <w:style w:type="paragraph" w:styleId="BalloonText">
    <w:name w:val="Balloon Text"/>
    <w:basedOn w:val="Standard"/>
    <w:qFormat/>
    <w:pPr/>
    <w:rPr>
      <w:rFonts w:ascii="Tahoma" w:hAnsi="Tahoma" w:cs="Tahoma"/>
      <w:sz w:val="16"/>
      <w:szCs w:val="16"/>
    </w:rPr>
  </w:style>
  <w:style w:type="paragraph" w:styleId="17" w:customStyle="1">
    <w:name w:val="Абзац списка1"/>
    <w:basedOn w:val="Standard"/>
    <w:qFormat/>
    <w:pPr>
      <w:spacing w:before="0" w:after="200"/>
      <w:ind w:left="720" w:hanging="0"/>
    </w:pPr>
    <w:rPr/>
  </w:style>
  <w:style w:type="paragraph" w:styleId="ConsPlusNormal1" w:customStyle="1">
    <w:name w:val="ConsPlusNormal"/>
    <w:qFormat/>
    <w:pPr>
      <w:widowControl/>
      <w:suppressAutoHyphens w:val="true"/>
      <w:bidi w:val="0"/>
      <w:spacing w:lineRule="auto" w:line="276" w:before="0" w:after="200"/>
      <w:jc w:val="left"/>
      <w:textAlignment w:val="baseline"/>
    </w:pPr>
    <w:rPr>
      <w:rFonts w:ascii="Arial" w:hAnsi="Arial" w:eastAsia="NSimSun" w:cs="Arial"/>
      <w:color w:val="auto"/>
      <w:kern w:val="2"/>
      <w:sz w:val="24"/>
      <w:szCs w:val="24"/>
      <w:lang w:val="ru-RU" w:eastAsia="zh-CN" w:bidi="hi-IN"/>
    </w:rPr>
  </w:style>
  <w:style w:type="paragraph" w:styleId="18" w:customStyle="1">
    <w:name w:val="Обычный1"/>
    <w:qFormat/>
    <w:pPr>
      <w:widowControl/>
      <w:suppressAutoHyphens w:val="true"/>
      <w:bidi w:val="0"/>
      <w:spacing w:before="0" w:after="0"/>
      <w:jc w:val="left"/>
      <w:textAlignment w:val="baseline"/>
    </w:pPr>
    <w:rPr>
      <w:rFonts w:ascii="Liberation Serif" w:hAnsi="Liberation Serif" w:eastAsia="Times New Roman" w:cs="Droid Sans"/>
      <w:color w:val="auto"/>
      <w:kern w:val="2"/>
      <w:sz w:val="24"/>
      <w:szCs w:val="24"/>
      <w:lang w:val="ru-RU" w:eastAsia="zh-CN" w:bidi="hi-IN"/>
    </w:rPr>
  </w:style>
  <w:style w:type="paragraph" w:styleId="34" w:customStyle="1">
    <w:name w:val="Основной текст (3)"/>
    <w:basedOn w:val="Standard"/>
    <w:qFormat/>
    <w:pPr>
      <w:shd w:val="clear" w:color="auto" w:fill="FFFFFF"/>
      <w:spacing w:lineRule="exact" w:line="241"/>
      <w:ind w:hanging="420"/>
    </w:pPr>
    <w:rPr>
      <w:sz w:val="20"/>
      <w:szCs w:val="20"/>
    </w:rPr>
  </w:style>
  <w:style w:type="paragraph" w:styleId="43" w:customStyle="1">
    <w:name w:val="Основной текст (4)"/>
    <w:basedOn w:val="Standard"/>
    <w:qFormat/>
    <w:pPr>
      <w:shd w:val="clear" w:color="auto" w:fill="FFFFFF"/>
      <w:spacing w:lineRule="exact" w:line="274"/>
      <w:jc w:val="both"/>
    </w:pPr>
    <w:rPr>
      <w:b/>
      <w:bCs/>
      <w:sz w:val="22"/>
      <w:szCs w:val="22"/>
    </w:rPr>
  </w:style>
  <w:style w:type="paragraph" w:styleId="Western" w:customStyle="1">
    <w:name w:val="western"/>
    <w:basedOn w:val="Standard"/>
    <w:qFormat/>
    <w:pPr>
      <w:suppressAutoHyphens w:val="false"/>
      <w:spacing w:lineRule="auto" w:line="276" w:before="100" w:after="142"/>
    </w:pPr>
    <w:rPr>
      <w:color w:val="000000"/>
      <w:lang w:eastAsia="ru-RU"/>
    </w:rPr>
  </w:style>
  <w:style w:type="paragraph" w:styleId="Style25">
    <w:name w:val="Колонтитул"/>
    <w:basedOn w:val="Normal"/>
    <w:qFormat/>
    <w:pPr/>
    <w:rPr/>
  </w:style>
  <w:style w:type="paragraph" w:styleId="Style26">
    <w:name w:val="Header"/>
    <w:basedOn w:val="Standard"/>
    <w:pPr>
      <w:suppressLineNumbers/>
      <w:tabs>
        <w:tab w:val="clear" w:pos="708"/>
        <w:tab w:val="center" w:pos="4677" w:leader="none"/>
        <w:tab w:val="right" w:pos="9355" w:leader="none"/>
      </w:tabs>
    </w:pPr>
    <w:rPr/>
  </w:style>
  <w:style w:type="paragraph" w:styleId="Style27">
    <w:name w:val="Footer"/>
    <w:basedOn w:val="Standard"/>
    <w:pPr>
      <w:suppressLineNumbers/>
      <w:tabs>
        <w:tab w:val="clear" w:pos="708"/>
        <w:tab w:val="center" w:pos="4677" w:leader="none"/>
        <w:tab w:val="right" w:pos="9355" w:leader="none"/>
      </w:tabs>
    </w:pPr>
    <w:rPr/>
  </w:style>
  <w:style w:type="paragraph" w:styleId="NormalWeb">
    <w:name w:val="Normal (Web)"/>
    <w:basedOn w:val="Normal"/>
    <w:qFormat/>
    <w:pPr>
      <w:widowControl/>
      <w:suppressAutoHyphens w:val="false"/>
      <w:spacing w:before="100" w:after="119"/>
      <w:textAlignment w:val="auto"/>
    </w:pPr>
    <w:rPr>
      <w:kern w:val="0"/>
      <w:sz w:val="24"/>
      <w:szCs w:val="24"/>
    </w:rPr>
  </w:style>
  <w:style w:type="paragraph" w:styleId="ListParagraph">
    <w:name w:val="List Paragraph"/>
    <w:basedOn w:val="Normal"/>
    <w:uiPriority w:val="34"/>
    <w:qFormat/>
    <w:rsid w:val="00746da2"/>
    <w:pPr>
      <w:widowControl/>
      <w:spacing w:before="0" w:after="0"/>
      <w:ind w:left="720" w:hanging="0"/>
      <w:contextualSpacing/>
      <w:textAlignment w:val="auto"/>
    </w:pPr>
    <w:rPr>
      <w:kern w:val="0"/>
      <w:sz w:val="24"/>
      <w:szCs w:val="24"/>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B17F2-D607-46ED-90CE-1D1622AE1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Application>LibreOffice/7.3.2.2$Windows_X86_64 LibreOffice_project/49f2b1bff42cfccbd8f788c8dc32c1c309559be0</Application>
  <AppVersion>15.0000</AppVersion>
  <Pages>2</Pages>
  <Words>374</Words>
  <Characters>2310</Characters>
  <CharactersWithSpaces>2613</CharactersWithSpaces>
  <Paragraphs>67</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2025-11-11T07:38:00Z</dcterms:created>
  <dc:creator>anichenkov</dc:creator>
  <dc:description/>
  <dc:language>ru-RU</dc:language>
  <cp:lastModifiedBy/>
  <cp:lastPrinted>2024-08-27T07:03:00Z</cp:lastPrinted>
  <dcterms:modified xsi:type="dcterms:W3CDTF">2026-08-26T10:24:36Z</dcterms:modified>
  <cp:revision>20</cp:revision>
  <dc:subject/>
  <dc:title>ТЕХНИЧЕСКОЕ ЗАДАНИЕ (ВЕДОМОСТЬ ОБЪЕМОВ РАБОТ)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