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УТВЕРЖДАЮ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Руководитель МАУ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«ЦАО»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_____________ ________________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ind w:firstLine="7370"/>
        <w:jc w:val="center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(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подпись)   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             (ФИО)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«____» _____________ 2026 г.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right"/>
        <w:tabs>
          <w:tab w:val="left" w:pos="709" w:leader="none"/>
        </w:tabs>
        <w:rPr>
          <w:rFonts w:ascii="Liberation Serif" w:hAnsi="Liberation Serif" w:cs="Liberation Serif"/>
          <w:color w:val="000000" w:themeColor="text1"/>
          <w:sz w:val="20"/>
          <w:szCs w:val="20"/>
          <w:highlight w:val="yellow"/>
        </w:rPr>
      </w:pP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Номер процедуры (АЭФ) 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  <w:highlight w:val="white"/>
        </w:rPr>
        <w:t xml:space="preserve">№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  <w:highlight w:val="white"/>
        </w:rPr>
        <w:t xml:space="preserve">_</w:t>
      </w:r>
      <w:r>
        <w:rPr>
          <w:rFonts w:ascii="Liberation Serif" w:hAnsi="Liberation Serif" w:eastAsia="Liberation Serif" w:cs="Liberation Serif"/>
          <w:color w:val="000000" w:themeColor="text1"/>
          <w:sz w:val="20"/>
          <w:szCs w:val="20"/>
        </w:rPr>
        <w:t xml:space="preserve">__/26</w:t>
      </w:r>
      <w:r>
        <w:rPr>
          <w:rFonts w:ascii="Liberation Serif" w:hAnsi="Liberation Serif" w:cs="Liberation Serif"/>
          <w:color w:val="000000" w:themeColor="text1"/>
          <w:sz w:val="20"/>
          <w:szCs w:val="20"/>
          <w:highlight w:val="yellow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  <w:highlight w:val="yellow"/>
        </w:rPr>
      </w:r>
    </w:p>
    <w:p>
      <w:pPr>
        <w:contextualSpacing/>
        <w:jc w:val="center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jc w:val="center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jc w:val="center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20"/>
          <w:szCs w:val="20"/>
        </w:rPr>
        <w:t xml:space="preserve">ДОКУМЕНТАЦИЯ </w:t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20"/>
          <w:szCs w:val="20"/>
        </w:rPr>
        <w:t xml:space="preserve">О ПРОВЕДЕНИИ АУКЦИОНА В ЭЛЕКТРОННОЙ ФОРМЕ</w:t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709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000000" w:themeColor="text1"/>
          <w:sz w:val="20"/>
          <w:szCs w:val="20"/>
        </w:rPr>
        <w:t xml:space="preserve">До</w:t>
      </w:r>
      <w:r>
        <w:rPr>
          <w:rFonts w:ascii="Liberation Serif" w:hAnsi="Liberation Serif" w:eastAsia="Liberation Serif" w:cs="Liberation Serif"/>
          <w:bCs/>
          <w:color w:val="000000" w:themeColor="text1"/>
          <w:sz w:val="20"/>
          <w:szCs w:val="20"/>
        </w:rPr>
        <w:t xml:space="preserve">кументация о проведении аукциона в электронной форме (далее – Документация) подготовлена в соответствии с Федеральным законом от 18 июля 2011 года № 223-ФЗ «О закупках товаров, работ, услуг отдельными видами юридических лиц», Положением о закупке товаров, </w:t>
      </w:r>
      <w:r>
        <w:rPr>
          <w:rFonts w:ascii="Liberation Serif" w:hAnsi="Liberation Serif" w:eastAsia="Liberation Serif" w:cs="Liberation Serif"/>
          <w:bCs/>
          <w:color w:val="000000" w:themeColor="text1"/>
          <w:sz w:val="20"/>
          <w:szCs w:val="20"/>
        </w:rPr>
        <w:t xml:space="preserve">работ, услуг для нужд МАУ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«ЦАО»</w:t>
      </w:r>
      <w:r>
        <w:rPr>
          <w:rFonts w:ascii="Liberation Serif" w:hAnsi="Liberation Serif" w:eastAsia="Liberation Serif" w:cs="Liberation Serif"/>
          <w:bCs/>
          <w:color w:val="000000" w:themeColor="text1"/>
          <w:sz w:val="20"/>
          <w:szCs w:val="20"/>
        </w:rPr>
        <w:t xml:space="preserve"> (далее – Положение)</w:t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ind w:firstLine="709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color w:val="000000" w:themeColor="text1"/>
          <w:sz w:val="20"/>
          <w:szCs w:val="20"/>
        </w:rPr>
      </w:r>
    </w:p>
    <w:p>
      <w:pPr>
        <w:contextualSpacing/>
        <w:jc w:val="center"/>
        <w:widowControl w:val="off"/>
        <w:rPr>
          <w:rFonts w:ascii="Liberation Serif" w:hAnsi="Liberation Serif" w:cs="Liberation Serif"/>
          <w:b/>
          <w:bCs/>
          <w:color w:val="000000"/>
          <w:sz w:val="44"/>
          <w:szCs w:val="44"/>
          <w:highlight w:val="white"/>
          <w:u w:val="single"/>
        </w:rPr>
      </w:pPr>
      <w:r>
        <w:rPr>
          <w:rFonts w:ascii="Liberation Serif" w:hAnsi="Liberation Serif" w:cs="Liberation Serif"/>
          <w:b/>
          <w:bCs/>
          <w:sz w:val="32"/>
          <w:szCs w:val="32"/>
          <w:highlight w:val="white"/>
        </w:rPr>
        <w:t xml:space="preserve">Предмет: </w:t>
      </w:r>
      <w:r>
        <w:rPr>
          <w:rFonts w:ascii="Liberation Serif" w:hAnsi="Liberation Serif" w:cs="Liberation Serif"/>
          <w:b/>
          <w:bCs/>
          <w:sz w:val="24"/>
          <w:szCs w:val="24"/>
          <w:highlight w:val="white"/>
        </w:rPr>
        <w:t xml:space="preserve">П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highlight w:val="white"/>
          <w:u w:val="single"/>
        </w:rPr>
        <w:t xml:space="preserve">оставка (приобретение) дизельного топлива</w:t>
      </w:r>
      <w:r>
        <w:rPr>
          <w:rFonts w:ascii="Liberation Serif" w:hAnsi="Liberation Serif" w:cs="Liberation Serif"/>
          <w:b/>
          <w:bCs/>
          <w:color w:val="000000"/>
          <w:sz w:val="44"/>
          <w:szCs w:val="44"/>
          <w:highlight w:val="white"/>
          <w:u w:val="single"/>
        </w:rPr>
      </w:r>
      <w:r>
        <w:rPr>
          <w:rFonts w:ascii="Liberation Serif" w:hAnsi="Liberation Serif" w:cs="Liberation Serif"/>
          <w:b/>
          <w:bCs/>
          <w:color w:val="000000"/>
          <w:sz w:val="44"/>
          <w:szCs w:val="44"/>
          <w:highlight w:val="white"/>
          <w:u w:val="single"/>
        </w:rPr>
      </w:r>
    </w:p>
    <w:p>
      <w:pPr>
        <w:contextualSpacing/>
        <w:ind w:firstLine="0"/>
        <w:jc w:val="both"/>
        <w:widowControl w:val="off"/>
        <w:rPr>
          <w:rFonts w:ascii="Liberation Serif" w:hAnsi="Liberation Serif" w:cs="Liberation Serif"/>
          <w:sz w:val="19"/>
          <w:szCs w:val="19"/>
          <w:highlight w:val="white"/>
        </w:rPr>
      </w:pPr>
      <w:r>
        <w:rPr>
          <w:rFonts w:ascii="Liberation Serif" w:hAnsi="Liberation Serif" w:cs="Liberation Serif"/>
          <w:sz w:val="19"/>
          <w:szCs w:val="19"/>
          <w:highlight w:val="white"/>
        </w:rPr>
      </w:r>
      <w:r>
        <w:rPr>
          <w:rFonts w:ascii="Liberation Serif" w:hAnsi="Liberation Serif" w:cs="Liberation Serif"/>
          <w:sz w:val="19"/>
          <w:szCs w:val="19"/>
          <w:highlight w:val="white"/>
        </w:rPr>
      </w:r>
      <w:r>
        <w:rPr>
          <w:rFonts w:ascii="Liberation Serif" w:hAnsi="Liberation Serif" w:cs="Liberation Serif"/>
          <w:sz w:val="19"/>
          <w:szCs w:val="19"/>
          <w:highlight w:val="white"/>
        </w:rPr>
      </w:r>
    </w:p>
    <w:tbl>
      <w:tblPr>
        <w:tblW w:w="48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/>
        <w:tc>
          <w:tcPr>
            <w:tcMar>
              <w:left w:w="75" w:type="dxa"/>
              <w:top w:w="75" w:type="dxa"/>
              <w:right w:w="450" w:type="dxa"/>
              <w:bottom w:w="75" w:type="dxa"/>
            </w:tcMar>
            <w:tcW w:w="5000" w:type="pct"/>
            <w:textDirection w:val="lrTb"/>
            <w:noWrap w:val="false"/>
          </w:tcPr>
          <w:p>
            <w:pPr>
              <w:contextualSpacing/>
              <w:ind w:left="567" w:right="-144"/>
              <w:jc w:val="center"/>
              <w:rPr>
                <w:rFonts w:ascii="Liberation Serif" w:hAnsi="Liberation Serif" w:cs="Liberation Serif"/>
                <w:b/>
                <w:bCs/>
                <w:highlight w:val="white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b/>
                <w:highlight w:val="white"/>
              </w:rPr>
              <w:t xml:space="preserve">Заказчик:</w:t>
            </w:r>
            <w:r>
              <w:rPr>
                <w:rFonts w:ascii="Liberation Serif" w:hAnsi="Liberation Serif" w:eastAsia="Liberation Serif" w:cs="Liberation Serif"/>
                <w:b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highlight w:val="white"/>
              </w:rPr>
              <w:t xml:space="preserve">Муниципальное автономное учреждение «Центр активного отдыха</w:t>
            </w:r>
            <w:r>
              <w:rPr>
                <w:rFonts w:ascii="Liberation Serif" w:hAnsi="Liberation Serif" w:eastAsia="Liberation Serif" w:cs="Liberation Serif"/>
                <w:b/>
                <w:bCs/>
                <w:highlight w:val="white"/>
              </w:rPr>
              <w:t xml:space="preserve">»</w:t>
            </w:r>
            <w:r>
              <w:rPr>
                <w:rFonts w:ascii="Liberation Serif" w:hAnsi="Liberation Serif" w:cs="Liberation Serif"/>
                <w:b/>
                <w:bCs/>
                <w:highlight w:val="white"/>
                <w:u w:val="single"/>
              </w:rPr>
            </w:r>
            <w:r>
              <w:rPr>
                <w:rFonts w:ascii="Liberation Serif" w:hAnsi="Liberation Serif" w:cs="Liberation Serif"/>
                <w:b/>
                <w:bCs/>
                <w:highlight w:val="white"/>
                <w:u w:val="single"/>
              </w:rPr>
            </w:r>
          </w:p>
          <w:tbl>
            <w:tblPr>
              <w:tblW w:w="9354" w:type="dxa"/>
              <w:tblInd w:w="56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9"/>
              <w:gridCol w:w="6785"/>
            </w:tblGrid>
            <w:tr>
              <w:tblPrEx/>
              <w:trPr/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</w:tr>
            <w:tr>
              <w:tblPrEx/>
              <w:trPr>
                <w:trHeight w:val="286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Место </w:t>
                  </w: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нахождения:   </w:t>
                  </w: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  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spacing w:after="0" w:afterAutospacing="0" w:line="240" w:lineRule="auto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4"/>
                      <w:szCs w:val="24"/>
                      <w:highlight w:val="white"/>
                    </w:rPr>
                    <w:t xml:space="preserve">629404, ЯНАО, муниципальный округ Приуральский район,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contextualSpacing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4"/>
                      <w:szCs w:val="24"/>
                      <w:highlight w:val="white"/>
                    </w:rPr>
                    <w:t xml:space="preserve">город Лабытнанги, мкр. Октябрьский, д. 1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</w:p>
                <w:p>
                  <w:pPr>
                    <w:contextualSpacing/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r>
                </w:p>
              </w:tc>
            </w:tr>
            <w:tr>
              <w:tblPrEx/>
              <w:trPr>
                <w:trHeight w:val="268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Почтовый адрес: 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spacing w:after="0" w:afterAutospacing="0" w:line="240" w:lineRule="auto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4"/>
                      <w:szCs w:val="24"/>
                      <w:highlight w:val="white"/>
                    </w:rPr>
                    <w:t xml:space="preserve">629404, ЯНАО, муниципальный округ Приуральский район,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contextualSpacing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4"/>
                      <w:szCs w:val="24"/>
                      <w:highlight w:val="white"/>
                    </w:rPr>
                    <w:t xml:space="preserve">город Лабытнанги, мкр. Октябрьский, д. 1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</w:p>
                <w:p>
                  <w:pPr>
                    <w:contextualSpacing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</w:p>
              </w:tc>
            </w:tr>
            <w:tr>
              <w:tblPrEx/>
              <w:trPr>
                <w:trHeight w:val="176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Адрес электронной почты: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  <w:u w:val="singl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  <w:lang w:eastAsia="en-US"/>
                    </w:rPr>
                    <w:t xml:space="preserve"> </w:t>
                  </w: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cao@lbt.yanao.ru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  <w:u w:val="single"/>
                    </w:rPr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  <w:u w:val="single"/>
                    </w:rPr>
                  </w:r>
                </w:p>
              </w:tc>
            </w:tr>
            <w:tr>
              <w:tblPrEx/>
              <w:trPr>
                <w:trHeight w:val="25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Телефон: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(34992) 5-72-72, </w:t>
                  </w: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внутр</w:t>
                  </w: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. 308</w:t>
                  </w: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1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103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24"/>
                      <w:szCs w:val="24"/>
                      <w:highlight w:val="white"/>
                    </w:rPr>
                    <w:t xml:space="preserve">+7-951-989-24-22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  <w:highlight w:val="white"/>
                    </w:rPr>
                  </w:r>
                </w:p>
              </w:tc>
            </w:tr>
            <w:tr>
              <w:tblPrEx/>
              <w:trPr>
                <w:trHeight w:val="136"/>
              </w:trPr>
              <w:tc>
                <w:tcPr>
                  <w:tcMar>
                    <w:left w:w="75" w:type="dxa"/>
                    <w:top w:w="75" w:type="dxa"/>
                    <w:right w:w="450" w:type="dxa"/>
                    <w:bottom w:w="75" w:type="dxa"/>
                  </w:tcMar>
                  <w:tcW w:w="2569" w:type="dxa"/>
                  <w:textDirection w:val="lrTb"/>
                  <w:noWrap w:val="false"/>
                </w:tcPr>
                <w:p>
                  <w:pPr>
                    <w:contextualSpacing/>
                    <w:ind w:right="-310"/>
                    <w:rPr>
                      <w:rFonts w:ascii="Liberation Serif" w:hAnsi="Liberation Serif" w:cs="Liberation Serif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highlight w:val="white"/>
                    </w:rPr>
                    <w:t xml:space="preserve">Ответственное должностное лицо</w:t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highlight w:val="white"/>
                    </w:rPr>
                  </w:r>
                </w:p>
              </w:tc>
              <w:tc>
                <w:tcPr>
                  <w:tcMar>
                    <w:left w:w="75" w:type="dxa"/>
                    <w:top w:w="75" w:type="dxa"/>
                    <w:right w:w="75" w:type="dxa"/>
                    <w:bottom w:w="75" w:type="dxa"/>
                  </w:tcMar>
                  <w:tcW w:w="6785" w:type="dxa"/>
                  <w:textDirection w:val="lrTb"/>
                  <w:noWrap w:val="false"/>
                </w:tcPr>
                <w:p>
                  <w:pPr>
                    <w:contextualSpacing/>
                    <w:jc w:val="both"/>
                    <w:widowControl w:val="off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color w:val="000000" w:themeColor="text1"/>
                      <w:sz w:val="24"/>
                      <w:szCs w:val="24"/>
                      <w:highlight w:val="none"/>
                    </w:rPr>
                    <w:t xml:space="preserve">Смышляева Валерия Азизбаевна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  <w:highlight w:val="white"/>
                    </w:rPr>
                  </w:r>
                </w:p>
              </w:tc>
            </w:tr>
          </w:tbl>
          <w:p>
            <w:pPr>
              <w:contextualSpacing/>
              <w:rPr>
                <w:rFonts w:ascii="Liberation Serif" w:hAnsi="Liberation Serif" w:cs="Liberation Serif"/>
                <w:highlight w:val="white"/>
              </w:rPr>
            </w:pPr>
            <w:r>
              <w:rPr>
                <w:rFonts w:ascii="Liberation Serif" w:hAnsi="Liberation Serif" w:cs="Liberation Serif"/>
                <w:highlight w:val="white"/>
              </w:rPr>
            </w:r>
            <w:r>
              <w:rPr>
                <w:rFonts w:ascii="Liberation Serif" w:hAnsi="Liberation Serif" w:cs="Liberation Serif"/>
                <w:highlight w:val="white"/>
              </w:rPr>
            </w:r>
            <w:r>
              <w:rPr>
                <w:rFonts w:ascii="Liberation Serif" w:hAnsi="Liberation Serif" w:cs="Liberation Serif"/>
                <w:highlight w:val="white"/>
              </w:rPr>
            </w:r>
          </w:p>
        </w:tc>
      </w:tr>
    </w:tbl>
    <w:p>
      <w:pPr>
        <w:rPr>
          <w:rFonts w:ascii="Liberation Sans" w:hAnsi="Liberation Sans" w:eastAsia="Liberation Serif" w:cs="Liberation Sans"/>
          <w:b/>
          <w:bCs/>
          <w:color w:val="000000"/>
          <w:sz w:val="20"/>
          <w:szCs w:val="20"/>
          <w:highlight w:val="white"/>
        </w:rPr>
      </w:pPr>
      <w:r>
        <w:rPr>
          <w:rFonts w:ascii="Liberation Sans" w:hAnsi="Liberation Sans" w:eastAsia="Liberation Serif" w:cs="Liberation Sans"/>
          <w:b/>
          <w:color w:val="000000"/>
          <w:sz w:val="20"/>
          <w:szCs w:val="20"/>
          <w:highlight w:val="white"/>
        </w:rPr>
        <w:br w:type="page" w:clear="all"/>
      </w:r>
      <w:r>
        <w:rPr>
          <w:rFonts w:ascii="Liberation Sans" w:hAnsi="Liberation Sans" w:eastAsia="Liberation Serif" w:cs="Liberation Sans"/>
          <w:b/>
          <w:bCs/>
          <w:color w:val="000000"/>
          <w:sz w:val="20"/>
          <w:szCs w:val="20"/>
          <w:highlight w:val="white"/>
        </w:rPr>
      </w:r>
      <w:r>
        <w:rPr>
          <w:rFonts w:ascii="Liberation Sans" w:hAnsi="Liberation Sans" w:eastAsia="Liberation Serif" w:cs="Liberation Sans"/>
          <w:b/>
          <w:bCs/>
          <w:color w:val="000000"/>
          <w:sz w:val="20"/>
          <w:szCs w:val="20"/>
          <w:highlight w:val="white"/>
        </w:rPr>
      </w:r>
    </w:p>
    <w:tbl>
      <w:tblPr>
        <w:tblW w:w="99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9354"/>
      </w:tblGrid>
      <w:tr>
        <w:tblPrEx/>
        <w:trPr>
          <w:trHeight w:val="4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42"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Способ осуществления закупки.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Аукцион в электронной форме (далее - аукцион)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Адрес электронной площадки в информационно-телекоммуникационной сети «Интернет»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89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69"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Документация об осуществлении данной закупки размещается на электронной площадке, функционирующей в соответствии с едиными требованиями, предусмотренными Федеральным законом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  <w:highlight w:val="white"/>
              </w:rPr>
              <w:t xml:space="preserve">от 18 июля 2011 года № 223-ФЗ «О закупках товаров, работ, услуг отдельными видами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  <w:highlight w:val="white"/>
              </w:rPr>
              <w:t xml:space="preserve">юридических лиц»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, и дополнительными требованиями, установленными Правительством Российской Федерации на сайте электронной площадки: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  <w:lang w:eastAsia="en-US"/>
              </w:rPr>
              <w:t xml:space="preserve">http://www.etp-region.ru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40"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left="42" w:right="40"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Наименование, место нахождения, почтовый адрес, адрес электронной почты, номер контактного тел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ефона, ФИО ответственного лица Заказчика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64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Наименование Заказчика: Муниципальное автономное учреждение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«Центр активного отдыха»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Место нахождения, почтовый адрес Заказчика: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629404,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ЯНАО, муниципальный округ Приуральский район, город Лабытнанги, мкр. Октябрьский, д. 1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Адрес электронной почты: </w:t>
            </w:r>
            <w:hyperlink r:id="rId11" w:tooltip="http://cao@lbt.yanao.ru" w:history="1">
              <w:r>
                <w:rPr>
                  <w:rStyle w:val="867"/>
                  <w:rFonts w:ascii="Liberation Serif" w:hAnsi="Liberation Serif" w:eastAsia="Liberation Serif" w:cs="Liberation Serif"/>
                  <w:color w:val="000000" w:themeColor="text1"/>
                  <w:sz w:val="20"/>
                  <w:szCs w:val="20"/>
                </w:rPr>
                <w:t xml:space="preserve">cao@lbt.yanao.ru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Контактные телефоны: +7-951-989-24-22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0"/>
              <w:jc w:val="both"/>
              <w:widowControl w:val="off"/>
              <w:rPr>
                <w:rFonts w:ascii="Liberation Serif" w:hAnsi="Liberation Serif" w:eastAsia="Liberation Serif" w:cs="Liberation Serif"/>
                <w:color w:val="000000" w:themeColor="text1"/>
                <w:highlight w:val="white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           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Контактное лицо: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Смышляева Валерия Азизбаевна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highlight w:val="white"/>
                <w14:ligatures w14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highlight w:val="white"/>
                <w14:ligatures w14:val="none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Контактный телефон: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+7 (34992)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д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б.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4.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Положение о закупке товаров, работ, услуг для нужд Заказчика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1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  <w:suppressLineNumbers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Положение о закупке товаров, работ, услуг для нужд МАУ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«ЦАО»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размещено по ссылке: https://zakupki.gov.ru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5.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Предмет аукциона с указанием количества поставляемого товара, а также краткое описание предмета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в соответствии с </w:t>
            </w:r>
            <w:hyperlink w:tooltip="#P166" w:anchor="P166" w:history="1">
              <w:r>
                <w:rPr>
                  <w:rFonts w:ascii="Liberation Serif" w:hAnsi="Liberation Serif" w:eastAsia="Liberation Serif" w:cs="Liberation Serif"/>
                  <w:b/>
                  <w:color w:val="000000" w:themeColor="text1"/>
                  <w:sz w:val="20"/>
                  <w:szCs w:val="20"/>
                </w:rPr>
                <w:t xml:space="preserve">частью 6.1 статьи 3</w:t>
              </w:r>
            </w:hyperlink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Закона 223-ФЗ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5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Предмет договора: поставка (приобретение) дизельного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топлива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Описание предмета приводится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в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приложении №2 Документации.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6.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Порядок и место подачи заявок на участие в электронном аукционе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Для участия в аукционе участнику закупки необходимо быть зарегистрированным и пройти аккредитацию на электронной торговой площадке по адресу: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http://www.etp-region.ru.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Если в документации о закупке установлено требование к обеспечению заявки на участие в з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акупке, участие в аукционе возможно только при предоставлении участником закупки такого обеспечения.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Подача участником закупки заявки на участие в аукционе является согласием такого участника закупки на списание денежных средств, находящихся на его счете,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открытом для проведения операций по обеспечению участия в аукционах, в качестве платы за участие в аукционе в случае признания такого участника победителем.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Место (адрес) подачи заявок на участие в аукционе: заявки на участие в аукционе подаются с использо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ванием программно-аппаратных средств электронной площадки в порядке, предусмотренном регламентом электронной площадки.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 аукциона формирует заявку на участие в аукционе в соответствии с регламентом электронной площадки, определенной для проведения 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укциона, требованиями Федерального закона № 223-ФЗ, Положения, а также требованиями Документации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согласно требованиям к содержанию, оформлению и составу заявки, указанным в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, а также предоставить сведения и документы, указанные в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Порядок подачи заявок на электронной торговой площадке определяется правилами и инструкциями электронной площадки.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 закупки вправе подать заявку на участие в любое время с момента размещения извещения о ее проведении до предусмотренны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х Документацией даты и времени окончания срока подачи заявок на участие. Участник закупки не вправе подать заявку на участие в аукционе после дня и времени окончания срока подачи заявок, а в случае ее подачи после дня окончания срока подачи заявок на участ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ие в аукционе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указанного в Документации, не рассматриваются.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Участники закупки должны подать заявку, указать информацию и приложить документы в порядке, установленным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 Оператор электронной площадки обеспечивает Участникам закупки возможност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ь включения в состав заявки и направления заказчику информации и документов, указанных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посредством программно-аппаратных средств электронной площадки в случае их представления данному оператору при аккредитации на электронной площадке.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Заяв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Электронные документы участника закупки в электронной форме, Заказчика, оператора электрон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ной площадки должны быть подписаны усиленной квалифицированной электронной подписью (далее – электронная подпись) лица, имеющего право действовать от имени соответственно участника закупки в электронной форме, Заказчика, оператора электронной площадки.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Зая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вка на аукцион подается участником закупки одновременно в виде двух частей электронных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документов. Каждая часть заявки должна быть подписана электронной цифровой подписью (ЭЦП). Подтверждение подачи заявки подписывается действующим сертификатом ЭЦП лица, 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меющего право действовать от имени участника закупки.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Участник конкурентной закупки вправе изменить или отозвать свою заявку до истечения срока подачи заявок. Заявка на участие в такой закупке является измененной или отозванной, если изменение осуществлено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или уведомление об отзыве заявки получено заказчиком до истечения срока подачи заявок на участие в такой закупке, указанный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в Документации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Заявка также должна содержать документы (в качестве приложений), указанные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в пунктах 7-9 Документации.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Непредставле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Документации является риском участника закупки, подавшего такую заяв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ку, и может являться основанием для отказа в допуске участника закупки к участию в процедуре закупки.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color w:val="0000ff" w:themeColor="hyperlink"/>
                <w:sz w:val="20"/>
                <w:szCs w:val="20"/>
                <w:u w:val="singl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День и время, указанные в </w:t>
            </w:r>
            <w:r>
              <w:rPr>
                <w:rFonts w:ascii="Liberation Serif" w:hAnsi="Liberation Serif" w:eastAsia="Liberation Serif" w:cs="Liberation Serif"/>
                <w:i/>
                <w:sz w:val="20"/>
                <w:szCs w:val="20"/>
              </w:rPr>
              <w:t xml:space="preserve">п. 32 Документации является окончанием срока подачи заявок, по наступлении которых оператором электронной площадки направляются первые части заявки Заказчику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не позднее дня, следующего за днем окончания срока подачи заявок на участие в закупке, установленн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ого в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либо следующими редакциями извещения,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Документации в случае внесения в них изменений (в т.ч. при необходимости продления сроков)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ff" w:themeColor="hyperlink"/>
                <w:sz w:val="20"/>
                <w:szCs w:val="20"/>
                <w:u w:val="single"/>
              </w:rPr>
            </w:r>
            <w:r>
              <w:rPr>
                <w:rFonts w:ascii="Liberation Serif" w:hAnsi="Liberation Serif" w:cs="Liberation Serif"/>
                <w:color w:val="0000ff" w:themeColor="hyperlink"/>
                <w:sz w:val="20"/>
                <w:szCs w:val="20"/>
                <w:u w:val="single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7.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Требования к содержанию и составу заявки на участие в закупке.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Участник аукциона в электронной форме формирует заявку на участие в аукционе в электронной форме в соответствии с регламентом электронной площадки, определенной для проведения аукциона в элект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ронной форме, требованиями Федерального закона № 223-ФЗ, Положения, а также требованиями Документации об аукционе в электронной форме.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Каждый потенциальный участник закупки вправе подать только одну заявку на участие.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Заявка на участие в аукционе предостав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ляется одновременно в виде двух частей, подписанных ЭЦП уполномоченного представителя участника закупки.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Файлы первой части заявки размещаются отдельно от файлов второй части заявки в соответствующих разделах на ЭТП.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Первая часть заявки на участие в аукционе должна содержать предложение участника конкурентной закупки в отношении предмета такой закупки, в том числе следующую информацию: 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- Согласие участника аукциона исполнить условия договора, указанные в Документации,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а также: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а) при осуществлении закупки работы, услуги, для выполнения, оказания которых используется и (или) поставляется товар (материал):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а-1) предложение о функциональных и качественных характеристиках товара (наименование и конкретные показатели, соотв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етствующие значениям, установленным в Документации о запросе котировок) и указание на товарный знак (его словесное обозначение) (при наличии), марку (при наличии), модель (при наличии), наименование страны происхождения;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а-2) в случае, если участник предлагает для поставки товар, который является эквивалентным товару, в отношении которого в Документации о запросе котировок содержится указание на товарный знак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его словесное обозначение) (при наличии),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 (или) такой участни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 предлагает для поставки товар, который является эквивалентным товару, указанному в Документации о запросе котировок, то указывает функциональные и качественные характеристики (наименование и конкретные показатели товара, соответствующие значениям эквивал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ентности, установленным данным Документациям) и указание на товарный знак (его словесное обозначение) (при наличии), марку (при наличии), модель (при наличии), наименование страны происхождения;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а-3) декларирование наименования страны происхождения товара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(в случае установления заказчиком в Документации о запросе котировок приоритета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выполняемым, оказываемым иностранными лицами), а также документ, подтверждающий страну происхождения товара, предусмотренный актом Правительства Российской Федерации, принятым в соответствии с пунктом 1 части 8 статьи 3 Закона № 223-ФЗ от 18.07.2011: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В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случае содержания в первой части заявки на участие в аукционе в электронной форме, сведений об участнике аукциона (организационно-правовая форма, адрес, печать, подпись, и пр.), а также сведений о ценовом предложении и (или) о ценовом предложении данная за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явка подлежит отклонению.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Рекомендуемая форма первой части заявки приведена в приложении к Документации. Представление заявки на участие в аукционе с отклонением от форм, установленных Документацией, не расценивается комиссией как несоответствие заявки на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участие в аукционе требованиям, установленным Документацией, при условии, что все сведения, предусмотренные в указанных формах, отражены в составе документов, предоставленных участником процедуры закупки.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Вторая часть ЗАЯВКИ на участие в аукционе в электронной форме должна содержать следующую информацию и документы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 в соответствии с условиями Документации, в том числе: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1) наименование, фирменное наименование (при наличии), сведения об организационно – правов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ой форме, о месте нахождения, почтовый адрес (для юридического лица), фамилия, имя, отчество (при наличии), паспортные данные, адрес места жительства (для физического лица), номер контактного телефона,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идентификационный номер налогоплательщика, идентификац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закупки;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2) полученную не ранее чем за шесть месяцев до дня размещения на офици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альном сайте извещения о проведении аукциона копию выписки из единого государственного реестра юридических лиц, заверенную печатью (при наличии печати) участника закупок и подписанную руководителем участника закупок или уполномоченным этим руководителем ли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цом (для юридических лиц), копию выписки из единого государственного реестра индивидуальных предпринимателей, заверенную печатью (при ее наличии) и подписью индивидуального предпринимателя (для индивидуальных предпринимателей.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Участник, в соответствии с Фе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деральным законом от 27 июля 2010 г. № 210-ФЗ «Об организации предоставления государственных и муниципальных услуг» и Федеральным законом от 06 апреля 2011 г. № 63-ФЗ «Об электронной подписи», вправе предоставить выписку ЕГРЮЛ/ЕГРИП, полученную с помощью с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ервиса «Предоставление сведений из ЕГРЮЛ/ЕГРИП о конкретном юридическом лице/индивидуальном предпринимателе в форме электронного документа» (https://service.nalog.ru/vyp/), сформированную в формате PDF и подписанную электронной подписью, которую можно визу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ализировать, в том числе при распечатывании;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3) документ, подтверждающий полномочия лица на осуществление действий от имени участника закупок (копия решения о назначении или об избрании, либо приказа о назначении физического лица на должность, в соответств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ии с которым такое физическое лицо обладает правом действовать от имени участника закупок без доверенности (далее - руководитель). В случае если от имени участника закупок действует иное лицо, аукционная заявка должна содержать также доверенность на осущес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твление действий от имени участника закупок, заверенную печатью (при наличии печати) участника закупок и подписанную руководителем участника закупок (для юридических лиц) или уполномоченным этим руководителем лицом, либо нотариально заверенную копию такой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доверенности. В случае если указанная доверенность подписана лицом, уполномоченным руководителем участника закупок, аукционная заявка должна содержать также документ, подтверждающий полномочия такого лица;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4) копии учредительных документов участника закупо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 (для юридических лиц), копия свидетельства о государственной регистрации в качестве индивидуального предпринимателя (для индивидуального предпринимателя), копии документов, удостоверяющих личность (для иных физических лиц);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5) надлежащим образом заверенн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(для иностранных лиц). Документы должны быть получены не ранее чем за шесть мес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яцев до дня размещения в единой информационной системе извещения о проведении аукциона;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6) решение об одобрении или о совершении крупной сделки (его копию) органами управления юридического лица, если требование о необходимости такого решения для совершения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крупной сделки установлено законодательством РФ, учредительными документами юридического лица и если для участника закупок поставка товаров, выполнение работ, оказание услуг, выступающих предметом договора, предоставление обеспечения исполнения договора 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вляются крупной сделкой. Если указанные действия не считаются для участника закупки крупной сделкой, представляется соответствующее письмо;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7) документы, подтверждающие внесение денежных средств в качестве обеспечения аукционной заявки (платежное поручение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подтверждающее перечисление денежных средств в качестве обеспечения заявки с отметкой банка об исполнении или иные документы, предусмотренные аукционной документацией), в случаях, когда аукционная документация предусматривает предоставление обеспечения;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8) обязательство участника аукциона представить до момента заключения договора сведения о цепочке собственников, включая бенефициаров (в том числе конечных), и документы, подтверждающие эти сведения, если требование об их представлении установлено в докуме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нтации об аукционе;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9) участники закупок, являющиеся физическими лицами, а также участники закупок, являющиеся юридическими лицами в случае приложения в составе заявки документов, содержащих персональные данные в отношении своих работников, предоставляют з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аказчику письменное согласие субъекта на обработку персональных данных в соответствии с частью 1 статьи 8 Федерального закона от 27 июля 2006 года № 152-ФЗ «О персональных данных»;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10) другие документы в соответствии с требованиями Положения о закупках и 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укционной документации (документы (их копии), подтверждающие соответствие участника аукциона требованиям аукционной документации и законодательства РФ к лицам, которые осуществляют поставки товаров, выполнение работ, оказание услуг (лицензия, выписка из СР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 и т.п.);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Электронные документы, входящие в состав заявки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должны быть представлены участником закупки через электронную площадку в доступном для прочтения формате и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должны иметь один из распространенных форматов документов: с расширением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doc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docx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xls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xlsx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txt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pdf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(*.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jpg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), а также могут быть представлены текстовым, графическим или кроссплатформенным форматами электронных документов либо иным обеспечивающим отсутствие необходимости применения пользователями ЕИС программного обес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Документы, подписанные электронной подписью (далее – ЭП) участника аукциона в электронной фо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рме, лица, имеющего право действовать от имени участника аукциона в электронной форме, признаются документами, подписанными собственноручной подписью участника аукциона в электронной форме, лица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имеющего право действовать от имени участника, заверенные печ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атью организации.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Наличие ЭЦП участника аукциона подтверждает, что документ отправлен от имени участника аукциона и является точной цифровой копией документа-оригинала.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Допускается размещение в составе заявки документов, сохраненных в архивах.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Все файлы не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должны иметь защиты от их открытия, изменения, копирования их содержимого или их печати.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аукциона в электронной форме.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Заявка и документы, входящие в состав заявки, должны быть составлены на русском языке. Если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заявка и/или какой-либо другой документ, входящий в состав заявки, составлен не на русском языке, к заявке должны быть приложены их надлежащим образом заверенные переводы на русский язык. Отсутствие перевода документов и/или их ненадлежащий вид, наличие п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ротиворечий между оригиналом и переводом, которые изменяют смысл оригинала, в составе заявки на участие в аукционе будет расценено как несоответствие заявки на участие в аукционе требованиям Документации, в связи с чем, такой участник закупки не будет допу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щен до участия в аукционе.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Документы и информация, в том числе содержащиеся в реестре участников закупок, аккредитованных на электронной площадке и направляемых заказчику оператором электронной площадки, должны быть достоверными, отображать актуальную инфо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рмацию об участнике закупки, соответствовать требованиям, установленным законодательством Российской Федерации, и содержать документы с учетом последних внесенных изменений.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961"/>
              <w:ind w:left="34" w:firstLine="686"/>
              <w:jc w:val="both"/>
              <w:tabs>
                <w:tab w:val="left" w:pos="316" w:leader="none"/>
                <w:tab w:val="left" w:pos="444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Ответственность за достоверность документов и информации, предоставляемых в состав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 заявки на участие в закупке, и соответствие указанных документов и информации требованиям, установленным законодательством РФ, за действия, совершенные на основании указанных документов и информации, за своевременное внесение изменений в документы и инфо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рмацию, предоставляемые в соответствии с настоящим пунктом, за замену указанных в настоящем пункте документов или прекращение их действия несет участник закупки, представивший указанные документы и информацию.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4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8.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 к оформлению заявки на участие в закупке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Заявка на участие в аукционе направляется участником закупки оператору электронной площадки в форме двух электронных документов, содержащих сведения, информацию и документы, предусмотренные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пунктом 7 и 9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 Документации.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Указанные электронные документы подаются одновременно.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При подготовке заявки на участие в аукционе участниками закупки должны приниматься общепринятые обозначения и наименования в соответствии с требованиями действующих нормативных документов.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Сведения, содержащиеся в заявках участников закупки, должны быть до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стоверными и не должны допускать двусмысленных (неоднозначных) толкований, не должны содержать противоречий, в заявке на участие в закупке должны содержаться только достоверные сведения по предмету.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Заявку на участие в аукционе участник закупки составляет,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руководствуясь данной Документацией.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В заявке необходимо указать сведения и приложить документы, предусмотренные пунктом 7 Документации. Указание в заявке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 объема выполняемых работ, оказываемых услуг или каких-либо условий поставки товара, или включение в 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заявку 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документов</w:t>
            </w:r>
            <w:r>
              <w:rPr>
                <w:rFonts w:ascii="Liberation Serif" w:hAnsi="Liberation Serif" w:eastAsia="Liberation Serif" w:cs="Liberation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 содержащих такие сведения (дефектные ведомости, сметы и т.д.)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 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не требуется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Непредставление необходимых документов в составе заявки, требование в отношении которых установлено, наличие в таких документах недостоверных или несоответствующ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их сведений об участнике закупки, является риском самого участника закупки, подавшего такую заявку, и служит основанием для ее отклонения от участия в аукционе.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случае установления недостоверности или несоответствия сведений и информации об участнике зак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упки и (или) о товарах, материалах, работах, услугах, содержащихся в документах, предоставленных в составе заявки или в самой заявке на участие в закупке, такой участник не допускается к участию в закупке.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Участнику закупки необходимо максимально позаботит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ься о доступности к содержанию поданной заявки при её рассмотрении комиссией.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9.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firstLine="33"/>
              <w:jc w:val="both"/>
              <w:widowControl w:val="off"/>
              <w:tabs>
                <w:tab w:val="left" w:pos="3015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Требования, предъявляемые к участникам закупки и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перечень документов, представляемых участниками закупки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4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Уч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тствии с Федеральным законом от 14 июля 2022 года № 255-ФЗ «О контроле за деятельностью лиц, находящихся под иностранным влиянием»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связи с тем, что закупка проводится по специальным нормам Закона № 223-ФЗ – не предусмотрено участие в закупке нескольких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лиц, выступающих на стороне одного участника закупок (коллективное участие в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закупке).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Для участия в процедурах закупок Участник закупок должен соответствовать следующим требованиям: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непроведение ликвидации участника конкурентной закупки - юридического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лица и отсутствие решения арбитражного суда о признании участника такой закупки - юридического лица или индивидуального предпринимателя несостоятельным (банкротом);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неприостановление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деятельности участника конкурентной закупки в порядке, установленном К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одексом Российской Федерации об административных правонарушениях;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3. отсутствие у участника конкурентной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д, размер которых 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4. отсутствие у участника конкурентной закупки - фи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частника конкурентной закупки непогашенной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неприменение в отношении указанных физи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наказания в виде дисквалификации;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5. отсутствие фактов привлечения в течение двух лет до момента подачи заявки на участие в конкурентной закупке участника такой закупки - юридического лица к административной ответственности за совершение административного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правонарушения, предусмотренного статьей 19.28 Кодекса Российской Федерации об административных правонарушениях;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6. соответствие участника конкурентной закупки указанным в документации о закупке требованиям законодательства Российской Федерации к лицам, ос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сударственных реестрах, размещенных в информационно-телекоммуникационной сети "Интернет"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(с указанием адреса сайта или страницы сайта в информационно-телекоммуникационной сети "Интернет", на которых размещены эти информация и документы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Данные сведения Уч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астники закупок указывают в составе заявки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);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  <w:highlight w:val="white"/>
              </w:rPr>
              <w:t xml:space="preserve">Не требуется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Не требуется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8. обладание участником конкурентной закупки п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равами использования результата интеллектуальной деятельности в случае использования такого результата при исполнении договора;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Требуется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9. Отсутствие сведений об участнике закупки в реестрах недобросовестных поставщиков, предусмотренных Законом № 223-ФЗ,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Соответствие требованиям, указанным в подпунктах 1-8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настоящего Пункта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декларируется Участником з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акупки и представляется в составе заявки с использованием программно-аппаратных средств электронной площадки.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Соответствие требованиям, как об участнике закупок, предусмотренным в подпункте 10 настоящего пункта подтверждается предоставлением в составе заяв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ки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 документов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(в качестве приложений),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если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лицензия была выдана до 01.01.2021 или выписку из реестра лицензий (если лицензия оформлена в 2021 году, т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  <w:highlight w:val="white"/>
              </w:rPr>
              <w:t xml:space="preserve">о прикладывается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  <w:highlight w:val="white"/>
              </w:rPr>
              <w:t xml:space="preserve"> выписка из реестра лицензий по типовой форме из постановления Правительства РФ от 29.12.2020 № 2343)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При выявлении несоответствия участника закупок указанным требованиям, Комиссия отказывает участнику закупок.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тветственность за достоверность документов,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сведений и информации, содержащихся в них несет участник закупки.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11.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При осуществлении закупки работы, услуги, для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выполнения, оказания которых поставляется и (или) используется товар (материал), при заполнении формы заявки участнику закупки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необходимо произвести описание предлагаемого товара (материала) в случае если заказчиком при описании предмета установлены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наименования и характеристики (показатели) используемых при выполнении работ товаров (материалов), учитывая указание необходимых сведений, предусмотренных в пункте 8 Документации.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заявке необходимо указать наименования 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характеристики (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функциональных, к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ачественных, потребительских свойствах,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показатели) поставляемых и (или) используемых при выполнении (оказании) работ (услуг) товаров (материалов) по всем позициям перечня работ (услуг), поставляемых и (или) используемых товаров (материалов)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Наименования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товаров (материалов), показателей, единицы измерения должны соответствовать наименованиям товаров, показателей и единицам измерения, установленным заказчиком в описании объекта закупки. Конкретизации подлежат только значения показателей, но не их наименова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ния.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 Сведения о характеристиках (функциональных, качественных, потребительских свойствах) товара (материала), указанные участником закупки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должны иметь конкретные и однозначные значения (показатели), если для данных значений (показателей) товара, предлагае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мого участником закупки, не предусмотрено иное. Количество значений (показателей) должно быть не менее установленных в описании характеристик товара.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Если в описании объекта закупки содержится указание на недействующие стандарты, технические регламенты, и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иные документы, разрабатываемые и применяемые в национальной системе стандартизации, принятые в соответствии с законодательством РФ о стандартизации, то следует считать их замененными на соответствующие действующие стандарты, технические регламенты, докуме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нты, разрабатываемые и применяемые в национальной системе стандартизации, принятые в соответствии с законодательством РФ о стандартизации.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Сведения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о характеристиках (функциональных, качественных, потребительских свойствах) товара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значения показателей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, не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должны допускать двусмысленных толкований, не должны быть противоречивыми, разноречивыми, двойственными, а так же не должны содержать предположительную (гипотетическую) или 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абстрактную  информацию</w:t>
            </w:r>
            <w:r>
              <w:rPr>
                <w:rFonts w:ascii="Liberation Serif" w:hAnsi="Liberation Serif" w:eastAsia="Liberation Serif" w:cs="Liberation Serif"/>
                <w:bCs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При предоставлении информации о товаре могут быть использо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ваны только общепринятые обозначения и сокращения, предлагаемые характеристики должны соответствовать характеристикам (показателям) товара, установленным в описании объекта закупки, не должны допускать разночтения или двусмысленное толкование и не должны с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опровождаться словами «эквивалент», «аналог», «хуже», «лучше», «должен быть», «должен», «либо», «или», «может быть», «допускается» и т. д.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Показатели товара должны быть предоставлены в объеме, установленном заказчиком. Участнику закупки рекомендуется соблю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дать последовательность указания показателей, установленных заказчиком при описании товара.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ми таких товаров, участником закупки указывается диапазон значений.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Если значение показателя установлено одним конкретным значением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, то такое значение не подлежит изменению (участнику закупки запрещается изменять показатели, которые не изменяются), подавая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 заявку участник соглашается с тем, что товар соответствует показателям, которые не изменяются. В случае, если характеристики товара отнесены к показателям, которые не изменяются (т.е. установлены заказчиком в виде конкретных значений), в договор включаютс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я значения показателей, установленные заказчиком в неизменном виде.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В случае,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 если участником закупки изменены значения неизменных показателей, и данные значения не соответствуют значениям, установленным в описании объекта закупки, такая заявка признается несоответствующей требованиям извещения о закупке.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3015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Если при составлении описа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ния объекта закупки заказчиком не использованы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логия, то необходимость в других показателях, требованиях, условных обозначениях и терминологии обусловлена потребностью заказчика.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43"/>
              <w:jc w:val="both"/>
              <w:widowControl w:val="off"/>
              <w:tabs>
                <w:tab w:val="left" w:pos="3015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Указание в заявке</w:t>
            </w:r>
            <w:r>
              <w:rPr>
                <w:rFonts w:ascii="Liberation Serif" w:hAnsi="Liberation Serif" w:eastAsia="Liberation Serif" w:cs="Liberation Serif"/>
                <w:iCs/>
                <w:sz w:val="20"/>
                <w:szCs w:val="20"/>
              </w:rPr>
              <w:t xml:space="preserve"> каких-либо условий поставки товара, или включение в заявку </w:t>
            </w:r>
            <w:r>
              <w:rPr>
                <w:rFonts w:ascii="Liberation Serif" w:hAnsi="Liberation Serif" w:eastAsia="Liberation Serif" w:cs="Liberation Serif"/>
                <w:iCs/>
                <w:sz w:val="20"/>
                <w:szCs w:val="20"/>
              </w:rPr>
              <w:t xml:space="preserve">документов</w:t>
            </w:r>
            <w:r>
              <w:rPr>
                <w:rFonts w:ascii="Liberation Serif" w:hAnsi="Liberation Serif" w:eastAsia="Liberation Serif" w:cs="Liberation Serif"/>
                <w:iCs/>
                <w:sz w:val="20"/>
                <w:szCs w:val="20"/>
              </w:rPr>
              <w:t xml:space="preserve"> содержащих такие сведения (дефектные ведомости, сметы и т.д.)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 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  <w:u w:val="single"/>
              </w:rPr>
              <w:t xml:space="preserve">не требуется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12.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Срок, место и порядок предоставления Документации о закупке, размер, порядок и сроки внесения платы, вз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в форме электронного документа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28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pStyle w:val="961"/>
              <w:ind w:left="0"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Срок предоставления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  <w:lang w:eastAsia="en-US"/>
              </w:rPr>
              <w:t xml:space="preserve">ации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: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с 03.09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.2026 г. по 21.09.2026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г.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61"/>
              <w:ind w:left="0"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Место и порядок предоставления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  <w:lang w:eastAsia="en-US"/>
              </w:rPr>
              <w:t xml:space="preserve">Документации: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 Документация о пр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оведении электронного аукциона размещается на сайте электронной площадки ЭТП «Регион» в сети Интернет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http://www.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etp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region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ru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и на официальном сайте единой инфо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рмационной системы </w:t>
            </w:r>
            <w:hyperlink r:id="rId12" w:tooltip="http://www.zakupki.gov.ru/223" w:history="1">
              <w:r>
                <w:rPr>
                  <w:rStyle w:val="867"/>
                  <w:rFonts w:ascii="Liberation Serif" w:hAnsi="Liberation Serif" w:eastAsia="Liberation Serif" w:cs="Liberation Serif"/>
                  <w:color w:val="000000" w:themeColor="text1"/>
                  <w:sz w:val="20"/>
                  <w:szCs w:val="20"/>
                </w:rPr>
                <w:t xml:space="preserve">www.zakupki.gov.ru/223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и доступна для ознакомления без взимания платы. Заинтересованные лица могут получить полный комплект Документации о закупке по провод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имому электронному аукциону на официальном сайте единой информационной системы </w:t>
            </w:r>
            <w:hyperlink r:id="rId13" w:tooltip="http://www.zakupki.gov.ru/223" w:history="1">
              <w:r>
                <w:rPr>
                  <w:rStyle w:val="867"/>
                  <w:rFonts w:ascii="Liberation Serif" w:hAnsi="Liberation Serif" w:eastAsia="Liberation Serif" w:cs="Liberation Serif"/>
                  <w:color w:val="000000" w:themeColor="text1"/>
                  <w:sz w:val="20"/>
                  <w:szCs w:val="20"/>
                </w:rPr>
                <w:t xml:space="preserve">www.zakupki.gov.ru/223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на сайте электронной площадки ЭТП «Регион» в сети Интернет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http://www.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etp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region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ru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в том числе Заказчик по адресу или посредством электронной почты, указанные в п. 3 Документации, может предоставить в электронной форме на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флеш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-носитель или по адресу эл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ектронной почты участника полный комплект Документации по проводимому электронному аукциону по заявке участника. Оплата не требуется.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pStyle w:val="961"/>
              <w:ind w:left="0" w:firstLine="709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Документация посредством распечатывания или копирования на бумажном носителе не предоставляется.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13.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28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Срок отмены от проведения аукциона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1418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Заказчик вправе отменить закупку до наступления даты и времени окончания срока подачи заявок (определяемый как момент открытия доступа к поданным заявкам) на участие в закупке. Решение об отмене закупки размещается на са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йте электронной площадки ЭТП «Регион» в сети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Интернет 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http://www.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etp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val="en-US" w:eastAsia="en-US"/>
              </w:rPr>
              <w:t xml:space="preserve">region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ru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и в единой информационной системе в день принятия этого решения.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1418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По истечении срока отмены закупки в соответствии с абзацем 1 настоящего Пункта и до заключения договора Заказчи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 вправе отменить определение поставщика только в случае возникновения обстоятельств </w:t>
            </w:r>
            <w:hyperlink r:id="rId14" w:tooltip="consultantplus://offline/ref=6AE81C291AEDBF2645E923D219A663E49CB1CA3F7D6A857ED8EABAC9D95EB60B0F296E2D9871F565V5hBD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20"/>
                  <w:szCs w:val="20"/>
                </w:rPr>
                <w:t xml:space="preserve">непреодолимой силы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в соответствии с гражданским законодательством.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14.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Форма, порядок предоставления участникам закупки разъяснений положений Документации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6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textDirection w:val="lrTb"/>
            <w:noWrap w:val="false"/>
          </w:tcPr>
          <w:p>
            <w:pPr>
              <w:contextualSpacing/>
              <w:ind w:firstLine="709"/>
              <w:jc w:val="both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Любой участник закупки, аккредитованный на электронной площадке, вправе направить составленный в форме электронного документа, графического образа бумажного документа или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с использованием программно-аппаратных средств электронной площадки через функционал электронной площадки, на которой проводится электронный аукцион, запрос о даче разъяснений положений Документации.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В течение трех рабочих дней с даты с даты поступления от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 оператора электронной площадки запроса, Заказчик осуществляет разъяснение положений Документации о закупке и размещает их посредством функционала на электронной площадке с указанием предмета запроса, но без указания участника такой закупки, от которого по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ступил указанный запрос. При этом Заказчик вправе не осуществлять такое разъяснение в случае, если указанный запрос поступил позднее, чем за три рабочих дня до даты окончания срока подачи заявок на участие в такой закупке.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Разъяснения положений Документаци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и о закупке не должны изменять ее суть.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Оператор электронной площадки обеспечивает размещение в единой информационной системе таких разъяснений и, в течение одного часа с этого  момента направляет уведомление об указанных разъяснениях всем участникам закуп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ки, подавшим заявки на участие в ней, уведомление об указанных разъяснениях также лицу, направившему запрос о дате разъяснений положений Документации по адресам электронной почты, указанным этими участниками при аккредитации на электронной площадке или эти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</w:rPr>
              <w:t xml:space="preserve">м лицом при направлении запроса.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15.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Дата и время окончания срока предоставления участникам закупки разъяснений положений Документации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7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shd w:val="clear" w:color="ffffff" w:themeColor="background1" w:fill="ffffff" w:themeFill="background1"/>
              <w:widowControl w:val="off"/>
              <w:tabs>
                <w:tab w:val="left" w:pos="3015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Разъяснения положений Документации предос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тавляются по запросам, поступившим в период с даты начала срока подачи заявок на электронной площадк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е по 21.09.26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 г.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до 10 часов 00 минут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16.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Порядок и срок отзыва заявок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на участие в аукционе, а также внесения изменений в такие заявки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15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 закупки, подавший заявку на участие в такой закупке, вправе изме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нить или отозвать свою заявку (как окончательно, так и с целью внесения изменений и последующего направления) до истечения срока (времени и даты) подачи заявок, направив об этом уведомление оператору электронной площадки, на которой проводится электронный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аукцион. Заявка на участие в такой закупке является измененной или отозванной, если изменение осуществлено или уведомление об отзыве заявки получено до истечения срока подачи заявок на участие в такой закупке, указанный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в Документации.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15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внесения За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казчиком изменений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оператор электронной площадки в течение одного часа с момента размещения в единой информационной системе изменений, внесенных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Документацию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направляет уведомление об указанных изменениях всем участникам закупки, подавшим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заявки на участие в ней, по адресам электронной почты, указанным этими участниками при аккредитации на электронной площадке.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15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внесения Заказчиком изменений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Документацию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участники закупки должны самостоятельно позаботиться о том, чтобы их заявка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соответствовала измененным условиям. В случае их несоответствия, такие заявки будут отклонены при рассмотрении.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15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Изменение заявки на электронной площадке осуществляется только путем отзыва заявки. После отзыва заявки участник закупки имеет возможность повт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орно сформировать на электронной площадке и подать заявку до наступления даты и времени окончания подачи заявок, установленного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15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случае установления факта подачи одним участником закупки двух и более заявок на участие в аукционе в электрон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ной форме, при условии, что поданные ранее этим участником заявки на участие в аукционе в электронной форме не отозваны, все заявки на участие в аукционе в электронной форме этого участника не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рассматриваются.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17.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28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Информация о валюте, используемой для формирования цены договора и расчетов с исполнителем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1418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Российский рубль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-5211" w:leader="none"/>
                <w:tab w:val="left" w:pos="-2801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18.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4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widowControl w:val="off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5 081 905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(пять миллионов восемьдесят одна тысяча девятьсот пять) рублей 00 копеек.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ind w:firstLine="709"/>
              <w:widowControl w:val="off"/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Н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а основании лимитов Заказчика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-5211" w:leader="none"/>
                <w:tab w:val="left" w:pos="-2801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19.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suppressLineNumbers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Источник финансирования закупки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5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Субсидия на выполнение муниципального задания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-5211" w:leader="none"/>
                <w:tab w:val="left" w:pos="-2801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20.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0" w:leader="none"/>
              </w:tabs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Цена Договора включает в себя: стоимость нефтепродуктов, расходы на перевозку, страхование, хранение, уплату таможенных пошлин, налогов, сборов, других обязательных платежей и других затрат Поставщика, необходимых для исполнения Договора.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Обоснование НМЦД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представлено отдельным файлом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Приложении № 3 к Документации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-5211" w:leader="none"/>
                <w:tab w:val="left" w:pos="-2801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21.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Форма, сроки и порядок оплаты работы, услуги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66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bidi="ru-RU"/>
              </w:rPr>
              <w:t xml:space="preserve">Расчет за поставленный Товар осуществляется в рублях Российской Федерации, в безналичной форме платежным поручением путем перечисления денежных средств на расчетный счет Поставщика в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размере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bidi="ru-RU"/>
              </w:rPr>
              <w:t xml:space="preserve">100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  <w:lang w:bidi="ru-RU"/>
              </w:rPr>
              <w:t xml:space="preserve"> % оплаты по факту поставки Товара ежемесячно в течение 7 (сем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  <w:lang w:bidi="ru-RU"/>
              </w:rPr>
              <w:t xml:space="preserve">и) рабочих дней, на основании подписанной товарной накладной и счет- фактуры / универсального передаточного документа (далее - УПД)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lang w:bidi="ru-RU"/>
              </w:rPr>
              <w:t xml:space="preserve">, направляемых по окончании календарного месяца, но не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позднее 3 числа месяца следующего за отчетным.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541" w:leader="none"/>
                <w:tab w:val="left" w:pos="639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22.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Место, условия и сроки (периоды) выполнения работы, оказания услуги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ЯНАО, муниципальный округ Приуральский район, город Лабытнанги, мкр. Октябрьский, д. 1,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горнолыжный комплекс «Октябрьский»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,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в рабочие дни с 9.00 -12.00, 14.00 – 17.00 часов местного времени (МСК +2)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по заявке Заказчика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:lang w:bidi="ru-RU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none"/>
                <w14:ligatures w14:val="none"/>
              </w:rPr>
            </w:r>
          </w:p>
          <w:p>
            <w:pPr>
              <w:contextualSpacing/>
              <w:ind w:firstLine="709"/>
              <w:jc w:val="both"/>
              <w:tabs>
                <w:tab w:val="left" w:pos="0" w:leader="none"/>
              </w:tabs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  <w:t xml:space="preserve">Срок поставки товара: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bidi="ru-RU"/>
              </w:rPr>
              <w:t xml:space="preserve">с 01 ноября 2026 года по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bidi="ru-RU"/>
              </w:rPr>
              <w:t xml:space="preserve"> 31 декабря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bidi="ru-RU"/>
              </w:rPr>
              <w:t xml:space="preserve">2026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bidi="ru-RU"/>
              </w:rPr>
              <w:t xml:space="preserve"> года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  <w:lang w:bidi="ru-RU"/>
              </w:rPr>
              <w:t xml:space="preserve">включительно.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23.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28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 к безопасности, качеству, техническим характеристикам, функциональным характеристикам (потребительским свойствам) работы, услуги, к результатам работы, установленные заказчиком и предусмотренные техническими регламентами в соответствии с законод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Иные требования, связанные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 определением соответствия поставляемого товара потребностям заказчика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Качество поставляемых нефтепродуктов должно </w:t>
            </w:r>
            <w:r>
              <w:rPr>
                <w:rFonts w:ascii="Liberation Serif" w:hAnsi="Liberation Serif" w:eastAsia="Liberation Serif" w:cs="Liberation Serif"/>
                <w:color w:val="000000"/>
                <w:spacing w:val="2"/>
                <w:sz w:val="20"/>
                <w:szCs w:val="20"/>
                <w:highlight w:val="white"/>
              </w:rPr>
              <w:t xml:space="preserve">соответствовать: 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  <w:highlight w:val="white"/>
              </w:rPr>
              <w:t xml:space="preserve">ГОСТ 32511-2013. Моторное топливо. Предназначено для применения в поршневых двигателях внутреннего сго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  <w:highlight w:val="white"/>
              </w:rPr>
              <w:t xml:space="preserve">рания с принудительным впрыском топлива. Соответствует требованиям ГОСТ. Соответствует Техническому регламенту «О требованиях к автомобильному и авиационному бензину, дизельному и судовому топливу, топливу для реактивных двигателей и топочному мазуту» (Пос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  <w:highlight w:val="white"/>
              </w:rPr>
              <w:t xml:space="preserve">тановление Правительства РФ от 27.02.2008 № 118), экологическим классам, действующим на территории Российской Федерации согласно требованиям технического регламента Таможенного союза «О требованиях к автомобильному и авиационному бензину, дизельному и судо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  <w:highlight w:val="white"/>
              </w:rPr>
              <w:t xml:space="preserve">вому топливу, топливу для реактивных двигателей и мазуту», принятого решением Комиссии Таможенного союза от 18.10.2011г. № 826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, 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  <w:lang w:bidi="ru-RU"/>
              </w:rPr>
              <w:t xml:space="preserve">в холодное время года допускается топливо дизельное ЕВРО, зимнее, класса 2, экологического класса К5 по ГОСТ 32511-2013).</w:t>
            </w:r>
            <w:r/>
          </w:p>
        </w:tc>
      </w:tr>
      <w:tr>
        <w:tblPrEx/>
        <w:trPr>
          <w:trHeight w:val="7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24.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 к гарантийному сроку работы, услуги и (или) объему предоставления гарантий их качества, к обслуживанию товара, к расходам на эксплуатацию товара, об обязательности осуществления монтажа и наладки товара, к обучению лиц, осуществляющих исполь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зование и обслуживание товара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7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bCs/>
                <w:i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Установлено</w:t>
            </w:r>
            <w:r>
              <w:rPr>
                <w:rFonts w:ascii="Liberation Serif" w:hAnsi="Liberation Serif" w:cs="Liberation Serif"/>
                <w:b/>
                <w:bCs/>
                <w:iCs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25.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Требование о соответствии поставляемого товара изображению товара, если при выполнении работ, оказании услуг осуществляется поставка товара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8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26.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28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Требование о соответствии поставляемого товара образцу или макету товара, если при выполнении работ, оказании услуг осуществляется поставка товара. Информацию о месте, датах начала и окончания, порядке и графике осмотра участниками закупки образца или маке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та товара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7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27.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Требования к энергетической эффективности товаров (материалов), используемых при выполнении работ, оказании услуг, утвержденные Министерством экономического развития Российской Федерации, иными министерств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ами и ведомствами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7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7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28.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ind w:right="-28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18"/>
                <w:szCs w:val="18"/>
                <w:highlight w:val="white"/>
              </w:rPr>
              <w:t xml:space="preserve">Требование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18"/>
                <w:szCs w:val="18"/>
                <w:highlight w:val="white"/>
              </w:rPr>
              <w:t xml:space="preserve">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18"/>
                <w:szCs w:val="18"/>
                <w:highlight w:val="white"/>
              </w:rPr>
              <w:t xml:space="preserve">аничение, преимущество установлены в соответствии с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white"/>
              </w:rPr>
              <w:t xml:space="preserve">пунктом 1 части 2 статьи 3.1-4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18"/>
                <w:szCs w:val="18"/>
                <w:highlight w:val="white"/>
              </w:rPr>
              <w:t xml:space="preserve"> Закона о закупках в отношении товара, работы, услуги, являющихся предметом закупки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99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44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НЕ ТРЕБУЕТСЯ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Закупка осуществляется в целях достижения минимальной доли товаров российского происхождения, установленной Постановлением Правительства РФ от 03.12.2020 № 2013 «О минимальной доле закупок товаров российского происхождения».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Для целей настоящей закупки тов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аром российского происхождения признается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товар,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включенный: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реестр промышленной продукции, произведенной на территории Российской Федерации, реестр промышленной продукции, произведенной на территориях отдельных районов Донецкой и Луганской областей Укр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аины,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</w:t>
            </w:r>
            <w:hyperlink r:id="rId15" w:tooltip="consultantplus://offline/ref=315E154BBA96EE16D7EE9919A2BA11995A8C898C022285CDA9FD01419C304CA2AEFAC2C379D517E9283E38BFA1eEr9F" w:history="1">
              <w:r>
                <w:rPr>
                  <w:rFonts w:ascii="Liberation Serif" w:hAnsi="Liberation Serif" w:eastAsia="Liberation Serif" w:cs="Liberation Serif"/>
                  <w:sz w:val="20"/>
                  <w:szCs w:val="20"/>
                </w:rPr>
                <w:t xml:space="preserve">постановлением</w:t>
              </w:r>
            </w:hyperlink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Правительства Российской Федерации от 30 апреля 2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бот (услуг), выполняемых (оказываемых) иностранными лицами, для целей осуществления закупок для нужд обороны страны и безопасности государства"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единый реестр российской радиоэлектронной продукции, предусмотренный постановлением Правительства Российской Ф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едерации от 10 июля 2019 г. N 878 «О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постановление Правительства Российской Федерации от 16 сентября 2016 г. N 925 и признании утратившими силу некоторых актов Правительства Российской Федерации».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Подтверждением соответствия товаров в целях закупки для достижения минимальной доли, указанной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 выше, является декларация о нахождении товаров в том или ином реестре с указанием номера реестровой записи.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При этом непредставление (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непродекларирование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) таких сведений не влечет признание заявки несоответствующей требованиям документации и не влечет отс</w:t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транение участника закупки от участия или отказе в допуске к участию в процедуре закупок.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white"/>
              </w:rPr>
              <w:t xml:space="preserve"> российского происхождения, работой, услугой, соответственно выполняемой, оказываемой российским лицом: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</w:p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tbl>
            <w:tblPr>
              <w:tblW w:w="10134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067"/>
              <w:gridCol w:w="5067"/>
            </w:tblGrid>
            <w:tr>
              <w:tblPrEx/>
              <w:trPr>
                <w:jc w:val="center"/>
                <w:trHeight w:val="491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jc w:val="center"/>
                    <w:widowControl w:val="off"/>
                    <w:tabs>
                      <w:tab w:val="left" w:pos="0" w:leader="none"/>
                      <w:tab w:val="left" w:pos="318" w:leader="none"/>
                      <w:tab w:val="left" w:pos="353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ЗАПРЕТ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r>
                </w:p>
                <w:p>
                  <w:pPr>
                    <w:jc w:val="center"/>
                    <w:widowControl w:val="off"/>
                    <w:tabs>
                      <w:tab w:val="left" w:pos="0" w:leader="none"/>
                      <w:tab w:val="left" w:pos="318" w:leader="none"/>
                      <w:tab w:val="left" w:pos="353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  <w:shd w:val="clear" w:color="auto" w:fill="ffffff"/>
                    </w:rPr>
                  </w:r>
                </w:p>
                <w:p>
                  <w:pPr>
                    <w:contextualSpacing/>
                    <w:ind w:right="-150" w:firstLine="744"/>
                    <w:jc w:val="center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ind w:firstLine="341"/>
                    <w:jc w:val="center"/>
                    <w:widowControl w:val="off"/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white"/>
                    </w:rPr>
                    <w:t xml:space="preserve">НЕ УСТАНОВЛЕНО</w:t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ind w:firstLine="341"/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иностранного происхо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ждения (работ, услуг, соответственно выполняемых, оказываемых иностранными лицами), то запрещается: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pStyle w:val="961"/>
                    <w:numPr>
                      <w:ilvl w:val="0"/>
                      <w:numId w:val="17"/>
                    </w:numPr>
                    <w:jc w:val="both"/>
                    <w:widowControl w:val="off"/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заключать договор на поставку товара, происходящего из иностранного 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государства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pStyle w:val="961"/>
                    <w:numPr>
                      <w:ilvl w:val="0"/>
                      <w:numId w:val="18"/>
                    </w:numPr>
                    <w:ind w:right="-150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заключать договор на выполнение работ (оказании услуг) с подрядчиком 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contextualSpacing/>
                    <w:ind w:right="-150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(испо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лнителем), являющимся иностранным лицом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</w:tc>
            </w:tr>
            <w:tr>
              <w:tblPrEx/>
              <w:trPr>
                <w:jc w:val="center"/>
                <w:trHeight w:val="2713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contextualSpacing/>
                    <w:ind w:right="-150"/>
                    <w:jc w:val="center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ОГРАНИЧЕНИЕ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white"/>
                    </w:rPr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white"/>
                    </w:rPr>
                  </w:r>
                </w:p>
                <w:p>
                  <w:pPr>
                    <w:contextualSpacing/>
                    <w:ind w:right="-150"/>
                    <w:jc w:val="center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закупок товаров (в том числе поставляемых при 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  <w:shd w:val="clear" w:color="auto" w:fill="ffffff"/>
                    </w:rPr>
                    <w:t xml:space="preserve">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      </w:r>
                  <w:r>
                    <w:rPr>
                      <w:rFonts w:ascii="Liberation Serif" w:hAnsi="Liberation Serif" w:cs="Liberation Serif"/>
                      <w:sz w:val="18"/>
                      <w:szCs w:val="18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18"/>
                      <w:szCs w:val="18"/>
                      <w:highlight w:val="whit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jc w:val="center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white"/>
                    </w:rPr>
                    <w:t xml:space="preserve">НЕ УСТАНОВЛЕНО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росс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ийского происхождения (работы, услуги, соответственно выполняемой, оказываемой российским лицом), то запрещается: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pStyle w:val="961"/>
                    <w:numPr>
                      <w:ilvl w:val="0"/>
                      <w:numId w:val="19"/>
                    </w:numPr>
                    <w:jc w:val="both"/>
                    <w:widowControl w:val="off"/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заключать договор на поставку товара, происходящего из иностранного 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  <w:highlight w:val="white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eastAsia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государства</w:t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eastAsia="Liberation Serif" w:cs="Liberation Serif"/>
                      <w:sz w:val="20"/>
                      <w:szCs w:val="20"/>
                    </w:rPr>
                  </w:r>
                </w:p>
                <w:p>
                  <w:pPr>
                    <w:contextualSpacing/>
                    <w:ind w:right="-150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</w:rPr>
                    <w:t xml:space="preserve">       -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white"/>
                    </w:rPr>
                    <w:t xml:space="preserve"> заключать договор на выполнение работ (оказании услуг) с подрядчиком (исполнителем), являющимся российским лицом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white"/>
                    </w:rPr>
                  </w:r>
                </w:p>
              </w:tc>
            </w:tr>
            <w:tr>
              <w:tblPrEx/>
              <w:trPr>
                <w:jc w:val="center"/>
                <w:trHeight w:val="491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contextualSpacing/>
                    <w:ind w:right="-150"/>
                    <w:jc w:val="center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  <w:shd w:val="clear" w:color="auto" w:fill="ffffff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yellow"/>
                      <w:shd w:val="clear" w:color="auto" w:fill="ffffff"/>
                    </w:rPr>
                    <w:t xml:space="preserve">ПРЕИМУЩЕСТВО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  <w:shd w:val="clear" w:color="auto" w:fill="ffffff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  <w:shd w:val="clear" w:color="auto" w:fill="ffffff"/>
                    </w:rPr>
                  </w:r>
                </w:p>
                <w:p>
                  <w:pPr>
                    <w:contextualSpacing/>
                    <w:ind w:right="-150"/>
                    <w:jc w:val="center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  <w:shd w:val="clear" w:color="auto" w:fill="ffffff"/>
                    </w:rPr>
                    <w:t xml:space="preserve">в отношении товаров российского происхождения (в том числе поставляемых при выполнении закупаемых работ, оказании закупаемых ус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  <w:shd w:val="clear" w:color="auto" w:fill="ffffff"/>
                    </w:rPr>
                    <w:t xml:space="preserve">луг), работ, услуг, соответственно выполняемых, оказываемых российскими лицами;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067" w:type="dxa"/>
                  <w:vAlign w:val="center"/>
                  <w:vMerge w:val="restart"/>
                  <w:textDirection w:val="lrTb"/>
                  <w:noWrap/>
                </w:tcPr>
                <w:p>
                  <w:pPr>
                    <w:jc w:val="center"/>
                    <w:widowControl w:val="off"/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УСТАНОВЛЕНО</w:t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Если объект закупки (предмет закупки) включает хотя бы один товар, не указанный в перечне № 1 и перечне № 2 Постановления Правительства Российской Федерации от 23 декабря 2024 г. N 1875 "О мерах по предоставлению национального режима при осуществлении заку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пок товаров, работ, услуг для обеспечения государственных и муниципальных нужд, закупок товаров, работ, услуг отдельными видами юридических лиц",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в отношении заявки, содержащей предложение о поставке товаров (в том числе поставляемых при выполнении закупае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мых работ, оказании закупаемых услуг) только российского происхождения,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применяется преимущество при условии, что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в числе заявок на участие в закупке (окончательных предложений), которые рассматриваются, оцениваются, сопоставляются,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имеется заявка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на участ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ие в закупке,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которая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не отклонена и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содержит предложение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о поставке хотя бы одного товара, происходящего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из иностранного государства.</w:t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b/>
                      <w:sz w:val="20"/>
                      <w:szCs w:val="20"/>
                      <w:highlight w:val="yellow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Преимущество также применяется в отношении включенных в предмет закупки товаров (работ, услуг),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указанных в перечне № 1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и перечне № 2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при условии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, что в отношении таких товаров (работ, услуг) запреты (ограничения) могут или не применяются.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При рассмотрении, оценке, сопоставлении заявок на участие в закупке, окончательных предложений осуществляется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сн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sz w:val="18"/>
                      <w:szCs w:val="18"/>
                      <w:highlight w:val="yellow"/>
                    </w:rPr>
                    <w:t xml:space="preserve">ижение на 15%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и в случае подачи им предложения о размере платы, подлежащей внесению за заключение договора.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</w:p>
                <w:p>
                  <w:pPr>
                    <w:jc w:val="both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При рассмотрении, оценке, сопоставлении заявок на участие в закупке, окончательных предложений осуществляется </w:t>
                  </w:r>
                  <w:r>
                    <w:rPr>
                      <w:rFonts w:ascii="Liberation Serif" w:hAnsi="Liberation Serif" w:eastAsia="Liberation Serif" w:cs="Liberation Serif"/>
                      <w:b/>
                      <w:bCs/>
                      <w:sz w:val="18"/>
                      <w:szCs w:val="18"/>
                      <w:highlight w:val="yellow"/>
                    </w:rPr>
                    <w:t xml:space="preserve">снижение на 15%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 ценового предложения, участником зак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</w:p>
                <w:p>
                  <w:pPr>
                    <w:contextualSpacing/>
                    <w:ind w:right="-150" w:firstLine="744"/>
                    <w:spacing w:line="17" w:lineRule="atLeast"/>
                    <w:tabs>
                      <w:tab w:val="left" w:pos="-4502" w:leader="none"/>
                      <w:tab w:val="left" w:pos="-4360" w:leader="none"/>
                    </w:tabs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В случае заключения договора с участни</w:t>
                  </w:r>
                  <w:r>
                    <w:rPr>
                      <w:rFonts w:ascii="Liberation Serif" w:hAnsi="Liberation Serif" w:eastAsia="Liberation Serif" w:cs="Liberation Serif"/>
                      <w:sz w:val="18"/>
                      <w:szCs w:val="18"/>
                      <w:highlight w:val="yellow"/>
                    </w:rPr>
                    <w:t xml:space="preserve">ком закупки, предлагающим к поставке товар только российского происхождения (работы, услуги, соответственно выполняемой, оказываемой российским лицом), договор заключается без учета снижения либо увеличения ценового предложения этого участника закупки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  <w:highlight w:val="yellow"/>
                    </w:rPr>
                  </w:r>
                </w:p>
              </w:tc>
            </w:tr>
          </w:tbl>
          <w:p>
            <w:pPr>
              <w:contextualSpacing/>
              <w:ind w:firstLine="709"/>
              <w:jc w:val="both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29.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Размер обеспечения заявки на участие в закупке, порядок и срок его предоставления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green"/>
              </w:rPr>
            </w:r>
          </w:p>
        </w:tc>
      </w:tr>
      <w:tr>
        <w:tblPrEx/>
        <w:trPr>
          <w:trHeight w:val="3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right="40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30.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Размер обеспечения исполнения договора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7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31.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Срок, способы и порядок предоставления обеспечения исполнения договора, а также основное обязательство, исполнение которого обеспечивается.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Реквизиты счета для внесения обеспечения исполнения договора (при необходимости)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3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  <w:t xml:space="preserve">Не установлено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32.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Дата и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время начала срока подачи заявок на участие в закупке (время МСК +2)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8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03.09.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 г. с момента размещения на площадке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33.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Дата и время окончания срока подачи заявок на участие в закупке (время МСК +2)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2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21.09.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 г. до 08:00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t xml:space="preserve">.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  <w:t xml:space="preserve">По нас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  <w:t xml:space="preserve">туплении установленного срока оператором электронной площадки не позднее дня, следующего за днем окончания срока подачи заявок на участие заказчику направляются заявки на участие в аукционе с документами, приложенными участниками закупок для их рассмотрени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highlight w:val="none"/>
              </w:rPr>
              <w:t xml:space="preserve">я и оценки.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34.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Место, дата и время окончания срока рассмотрения первых частей заявок на участие в аукционе (время МСК +2)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3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о месту нахождения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Заказчика:на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сайте оператора электронной площадки </w:t>
            </w:r>
            <w:hyperlink r:id="rId16" w:tooltip="https://223.rts-tender.ru/" w:history="1">
              <w:r>
                <w:rPr>
                  <w:rFonts w:ascii="Liberation Serif" w:hAnsi="Liberation Serif" w:eastAsia="Liberation Serif" w:cs="Liberation Serif"/>
                  <w:b/>
                  <w:color w:val="000000" w:themeColor="text1"/>
                  <w:sz w:val="20"/>
                  <w:szCs w:val="20"/>
                  <w:highlight w:val="none"/>
                </w:rPr>
                <w:t xml:space="preserve">http://www.etp-region.ru</w:t>
              </w:r>
            </w:hyperlink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Дата и время: 21.09.26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г. в 10:00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35.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Порядок рассмотрения первых частей заявок на участие в аукционе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40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К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омиссия проверяет первые части заявок на участие в аукционе на соответствие требованиям, установленным в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Документации.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right="40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В случае содержания в первой части заявки на участие в аукционе в электронной форме сведений об участнике закупки и (или) о ценовом предл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ожении данная заявка подлежит отклонению.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right="40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По итогам рассмотрения первых частей заявок на участие в аукционе в электронной форме составляется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протокол рассмотрения первых частей заявок на участие в закупке, который подписывается всеми присутствующими членами комиссии в день окончания рассмотрения заявок. Заказчик направляет оператору электронной площадки. В течение часа с момента получения указа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нного протокола оператор электронной площадки размещает его в единой информационной системе.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right="40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Если установлено, что один участник закупки подал две или более заявки на участие и ранее поданные этим участником заявки не отозваны, все его заявки после окончан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ия подачи не рассматриваются, информация о наличии таких заявок заносится в итоговый протокол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highlight w:val="none"/>
              </w:rPr>
            </w:r>
            <w:bookmarkStart w:id="0" w:name="_Hlk135479497"/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36.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Дата и время проведения аукциона в электронной форме (время МСК +2)</w:t>
            </w:r>
            <w:bookmarkEnd w:id="0"/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2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21.09.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26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г. в 12:00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37.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Порядок проведения аукциона, «ш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аг аукциона», время приема предложений участников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1. В аукционе могут участвовать только участники закупки, признанные участниками 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Победителем аукциона признается участник закупки, предложивший наиболее низкую цену договора или, если в ходе аукциона цена договора снижена до нуля и аукцион проводится на право заключить договор, наиболее высокую цену права на заключение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3. Аук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цион проводится на электронной площадке в день, указанный в извещении и в настоящей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4. Аукцион проводится путем снижения, за исключением случая, установленного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в подпункте 15 настоящего Пункта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, начальной (максимальной) цены договора, указанно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й в извещении о проведении аукциона, в порядке, установленном настоящим Пунктом.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В случае если в аукционной документации указана общая начальная (максимальная) цена единиц товаров, работ, услуг, аукцион проводится путем снижения общей начальной (максимальн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ой) цены единиц таких товаров, работ, услуг на величину в пределах «шага аукциона» при сохранении максимального значения цены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5. «Шаг аукциона» составляет от 0,5 процента до 5 процентов начальной (максимальной) цены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6. При проведении ау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кциона участники аукциона подают предложения о цене договора, предусматривающие снижение текущего минимального предложения о цене договора на величину в пределах «шага аукциона».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7. При проведении аукциона любой участник аукциона также вправе подать предло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жение о цене договора, независимо от «шага аукциона», при условии соблюдения требований, предусмотренных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подпунктом 8 настоящего Пункта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8. При проведении аукциона участники аукциона подают предложения о цене договора с учетом следующих требований: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1) уча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стник аукциона не вправе подавать предложение о цене договора, равное предложению или большее, чем предложение о цене договора, которое подано таким участником аукциона ранее, а также предложение о цене договора, равное нулю;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2) участник аукциона не вправ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е подавать предложение о цене договора ниже, чем текущее минимальное предложение о цене договора, сниженного на «шаг аукциона»;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3) участник аукциона не вправе подавать предложение о цене договора ниже, чем текущее минимальное предложение о цене договора, в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 случае если такое предложение о цене договора подано этим же участником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9. От начала прове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дения аукциона на электронной площадке до истечения срока подачи предложений о цене договора указываются все предложения о цене договора и время их поступления, а также время, оставшееся до истечения срока подачи предложений о цене договора в соответствии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 подпунктом 10 настоящего Пункта.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10. При проведении аукциона устанавливается время приема предложений участников аукциона о цене договора, составляющее 10 минут от начала проведения аукциона до истечения срока подачи предложений о цене договора, а также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10 минут после поступления последнего предложения о цене договора. Время обновляется автоматически. Если в течение указанного времени ни одного предложения о более низкой цене договора не поступило, аукцион автоматически, при помощи программных и техническ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их средств, обеспечивающих его проведение, завершается.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11. В течение 10 минут с момента завершения аукциона любой участник аукциона вправе подать предложение о цене договора, которое не ниже, чем последнее предложение о минимальной цене договора на аукцио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не, независимо от «шага аукциона», с учетом требований, предусмотренных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подпунктами 7 и 8 настоящего Пункта.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12. Оператор электронной площадки обеспечивает при проведении аукциона конфиденциальность данных об участниках 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13. Во время проведения ау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кциона оператор электронной площадки отклоняет предложение о цене договора в момент его поступления, если оно не соответствует требованиям, предусмотренным регламентом электронной площадки.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14. В случае если была предложена цена договора, равная цене, пред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ложенной другим участником аукциона, лучшим признается предложение о цене договора, поступившее ранее других предложений.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15. Если при проведении аукциона цена договора (цена единицы товара, работы, услуги, общая цена единиц товаров, работ, услуг) снижена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аукционной документацией, и которое предложило наиболее высокую цену (цену единицы товара,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работы, услуги, общую цену единиц товаров, работ, услуг) за право заключить договор. При этом учитываются следующие особенности: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1) участник аукциона на право заключить договор не может предлагать цену выше максимальной суммы сделки, указанной в решении об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 одобрении или о совершении крупной сделки, которое представлено в составе заявки этого участника;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2) если документацией о проведении аукциона и проектом договора предусмотрено обеспечение исполнения договора, размер такого обеспечения рассчитывается исход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я из начальной (максимальной) цены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16. В течение одного часа после окончания подачи в соответствии с частями 7 и 10 статьи 3.4 Закона № 223-ФЗ предложений о цене договора (общей цене единиц товаров, работ, услуг) оператор электронной площадки сос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тавляет и размещает на электронной площадке и в единой информационной системе в сфере закупок протокол подачи предложений о цене договора (общей цене единиц товаров, работ, услуг), содержащий дату, время начала и окончания подачи предложений о цене договор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а (общей цене единиц товаров, работ и услуг) и поступившие минимальные предложения о цене договора каждого участника аукциона в электронной форме с указанием времени их поступления.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17. После размещения на электронной площадке протокола, указанного в подпу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нкте 16 настоящего Пункта, оператор электронной площадки направляет заказчику такой протокол и вторые части заявок на участие в аукционе, поданных участниками 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18. В случае если в течение 10 минут после начала проведения аукциона ни один из участн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иков аукциона не подал предложение о цене договора в соответствии с подпунктом 6 настоящего Пункта, аукцион признается несостоявшимся.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19. Любой участник аукциона после размещения на электронной площадке, указанного в подпункте 16 настоящего Пункта протоко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ла вправе направить оператору электронной площадки запрос о разъяснении результатов 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20. Оператор электронной площадки обеспечивает непрерывность проведения аукциона, надежность функционирования программных и технических средств, используемых для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проведения аукциона, равный доступ участников аукциона к участию в нем, а также выполнение действий, предусмотренных настоящим разделом, независимо от времени окончания аукциона.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21. При проведении аукциона какие-либо переговоры заказчика или комиссии с уч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астником закупки не допускаются. В случае нарушения указанного положения аукцион может быть признан недействительным по иску заинтересованного лица в порядке, предусмотренном законодательством Российской Федерации. Заказчик может давать разъяснения положен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ий документации на проведение аукциона в электронной форме.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В случае, если регламентом электронной площадки установлены иные по сравнению с установленными Документацией правил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0"/>
                <w:szCs w:val="20"/>
              </w:rPr>
              <w:t xml:space="preserve">а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/>
            <w:bookmarkStart w:id="1" w:name="_Hlk135479351"/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38.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Место, дата и время окончания рассмотрения вторых частей заявок и подведения итогов (определение победителя аукциона) (время МСК +2)</w:t>
            </w:r>
            <w:bookmarkEnd w:id="1"/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8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150" w:firstLine="709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 месту нахождения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Заказчика:на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сайте оператора электронной площадки </w:t>
            </w:r>
            <w:hyperlink r:id="rId17" w:tooltip="https://223.rts-tender.ru/" w:history="1">
              <w:r>
                <w:rPr>
                  <w:rFonts w:ascii="Liberation Serif" w:hAnsi="Liberation Serif" w:eastAsia="Liberation Serif" w:cs="Liberation Serif"/>
                  <w:b/>
                  <w:color w:val="000000" w:themeColor="text1"/>
                  <w:sz w:val="20"/>
                  <w:szCs w:val="20"/>
                </w:rPr>
                <w:t xml:space="preserve">http://www.etp-region.ru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дата и время окончания рассмотрения вторых частей заявок -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22.09.26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г. в 12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:00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ind w:right="-150" w:firstLine="744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дата и время окончания подведения итогов - 22.09.26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в 13:00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39.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Порядок определения победителя аукциона и подведения итогов.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Рассмотрение вторых частей заявок.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омиссия рассматривает вторые части заявок на участие в аукционе, направленных заказчику оператором электронной площадки, на соответствие их требованиям, установленным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Документацией.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Комиссией на основании результатов рассмотрения вторых частей заявок на уч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астие в аукционе принимается решение о соответствии или о несоответствии заявки на участие в аукционе требованиям, установленным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Документацией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 В случае если не выявлены заявки на участие в аукционе, соответствующие требованиям, установленным Документацией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комиссия принимает решение о том, что аукцион не состоялся.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Заявка на участие в аукционе признается не соответствующей требованиям, установленным Документацией, в случае: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1) непредставления сведений или документов, определенных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пунктом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8, с учетом пункта 10 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в т.ч. с учетом документов, ранее представленных в составе первых частей заявок на участие в аукционе, отсутствия документов или их несоответствия требованиям документации на проведение аукциона, а также наличия в таких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документах недостоверных сведений об участнике закупки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 (или) о товарах;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2) несоответствия участника закупки требованиям, установленным в настоящей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принятия решения о соответствии заявок на участие в аукционе требованиям, установлен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ным Документацией, а также в случае принятия на основании рассмотрения вторых частей заявок на участие в аукционе, поданных всеми участниками аукциона, принявшими участие в аукционе, решения о соответствии более одной заявки указанным требованиям комиссией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оформляется протокол подведения итогов аукциона, который подписывается всеми присутствующими на заседании членами комиссии в день окончания рассмотрения заявок на участие в аукционе. В указанный протокол включают информацию, указанную в части 14 статьи 3.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2 Закона № 223-ФЗ и предусмотренную Положением о закупках.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 аукциона, который предложил наиболее низкую цену договора, и заявка на участие в аукционе которого соответствует требованиям документации на проведение аукциона, признается победителем аук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циона. В случае, предусмотренном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0"/>
                <w:szCs w:val="20"/>
              </w:rPr>
              <w:t xml:space="preserve">подпунктом 15 пункта 37 настоящей Документации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, победителем аукциона признается участник аукциона, который предложил наиболее высокую цену договора,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и заявка на участие в аукционе которого соответствует требованиям Документации.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Комиссия на основании результатов рассмотрения заявок на участие в аукционе присваивает каждой заявке порядковый номер в порядке уменьшения степени выгодности содержащихся в 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их условий исполнения договора, наименьшему (наиболее высокой цене (цене единицы товара, общей цене единиц товаров за право заключить договор в случае, указанном в подпункте 15 пункта 37 настоящей Документации) ценовому предложению, присваивается первый но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мер. В случае, если в нескольких таких заявках содержатся одинаковые ценовые предложения, меньший порядковый номер присваивается заявке, которая поступила ранее других таких заявок.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После размещения протокола оператор электронной площадки направляет участн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икам аукциона, вторые части заявок на участие в аукционе которых рассматривались и в отношении заявок на участие в аукционе которых принято решение о соответствии или о несоответствии требованиям, предусмотренным Документацией, уведомления о принятом решен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ии.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если комиссией принято решение о несоответствии всех вторых частей заявок на участие в аукционе или о соответствии только одной второй части заявки на участие в аукционе, в протокол подведения итогов аукциона вносится информация о признании ау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кциона несостоявшимся.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widowControl w:val="off"/>
              <w:tabs>
                <w:tab w:val="left" w:pos="993" w:leader="none"/>
                <w:tab w:val="left" w:pos="1276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если аукцион признан несостоявшимся и только одна заявка на участие в аукционе, поданная участником аукциона, принявшим участие в аукционе, признана соответствующей требованиям, предусмотренным документацией на проведение ау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кциона, заказчик направляет оператору электронной площадки проект договора, прилагаемого к Документации, без подписи договора заказчиком. При этом договор заключается на условиях, предусмотренных Документацией, по минимальной цене договора, предложенной ук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азанным участником аукциона при проведении аукциона. Указанный участник закупки не вправе отказаться от заключения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40.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34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Порядок заключения договора. Срок со дня подписания протокола подведения итогов аукциона, в течение которого победитель аукцио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на должен подписать договор. 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С момента опубликования на электронной площадке итогового прот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окола закупки Заказчик заключает в течение срока, установленного для заключения договора, предусмотренного в Документации и Положении о закупках, договор в электронном виде с использованием программно-аппаратных средств электронной площадки, с победителем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(единственным участником) либо с иным участником, которому в соответствии с законодательством Российской Федерации и/или Положением о закупках предлагается по результатам закупки заключить договор, который заключается на условиях, которые указаны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в проекте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договора, извещении, Документации и заявкой участника такой закупки, с которым заключается договор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 составляется путем включения цены договора, предложенной победителем аукциона/ начальной (максимальной) цены договора или иной согласованной с единственны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м участником аукциона цены, не превышающей начальную (максимальную) цену договора, либо иным участником электронного аукциона, с которым заключается договор, информации о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товаре (товарном знаке и (или) конкретных показателях товара), наименование страны пр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оисхождения, указанных в заявке на участие в таком аукционе участника и реквизитов победителя (единственного участника аукциона) либо иным участника электронного аукциона, с которым заключается договор.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Договор по результатам конкурентной закупки с участи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ем субъектов малого и среднего предпринимательства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конкурен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тной закупки, заказчика.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Договор по результатам проведения конкурентной закупки заключается с участником закупок, признанным победителем (единственным участником аукциона) не ранее чем через 10 дней и не позднее чем через 20 дней с даты опубликования на эл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ектронной площадке протокола, которым оканчивается процедура осуществления закупки (далее – протокол подведения итогов аукциона), составленного по результатам конкурентной закупки, в следующем порядке: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течение пяти дней со дня опубликования на электронно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й площадке протокола подведения итогов аукциона Заказчик направляет победителю (единственному участнику аукциона, с которым заключается договор) заполненный проекта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Победитель закупки (единственный участник аукциона) в течение 5 дней со дня получ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ения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 проекта договора подписывает и направляет Заказчику. В случае наличия разногласий по проекту договора, победитель закупки (единственный участник аукциона) в тот же срок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имеет возможность направить протокол разногласий, указывая в нем замечания к полож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ениям проекта договора,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не соответствующим Документации, извещению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щадки.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коле разногласий замечания. 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если заказчиком установлено требование обеспечения исполнения договора, договор заключается только после передачи заказчику в залог денежных средств или предоставления независимой гарантии в размере обеспечения исполне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ния договора и в соответствии со сроком предоставления, установленных Документацией.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Договор в электронной форме считается заключенным с момента его подписания электронно-цифровых подписями победителя закупки (иного участник электронного аукциона, с которы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м заключается договор)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 заказчиком.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Победитель аукциона, (единственный участник аукциона), с которым заключается договор, признается уклонившимся от заключения договора в случае, если такой участник аукциона в течение 5 (пяти) дней со дня получения проект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а договора не направил оператору электронной площадки проект договора или протокол разногласий, подписанный электронной подписью лица, имеющего право действовать от имени участника закупки, отказался от заключения договора, а также не направил обеспечение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исполнения договора, или предоставил с нарушением условий, указанных в документации (извещении) о закупке, при условии что заказчиком, было установлено требование обеспечения исполнения договора, или не внес денежные средства в размере предложенной участни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ком закупки цены за право заключения договора (если при проведении аукциона в электронной форме цена договора снижена до нуля и аукцион в электронной форме проводился на право заключить договор).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признания участника закупки уклонившимся от заключе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ния договора, внесенное обеспечение заявки такому участнику закупки не возвращается.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 случае уклонения от заключения договора победителя аукциона договор заключается с участником аукциона, который предложил такие же, как и победитель закупки, условия испо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Проект договора в случае согласия участника аукциона, заяв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ке на участие в аукционе которого присвоен второй номер, заключить договор составляется заказчиком путем включения в проект договора, прилагаемый к документации, условий исполнения договора, предложенных этим участником.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709"/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Участник аукциона, заявке на участи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е в аукционе которого присвоен второй номер, вправе подписать договор и передать его заказчику или отказаться от заключения договора. Одновременно с подписанным экземпляром договора этот участник обязан предоставить обеспечение исполнения договора. Непредо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ставление участником аукциона, заявке на участие в аукционе которого присвоен второй номер, заказчику подписанного этим участником договора и обеспечения исполнения договора не считается уклонением этого участника от заключения договора.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41.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Сведения о возможности изменить объем товаров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center"/>
            <w:textDirection w:val="lrTb"/>
            <w:noWrap w:val="false"/>
          </w:tcPr>
          <w:p>
            <w:pPr>
              <w:contextualSpacing/>
              <w:ind w:right="-29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Возможность Заказчика внести изменения и расторгнуть договор, предусмотрена в договоре и/или Поло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жении о закупках. Договоры, заключенные по результатам закупок, изменяются в порядке и по основаниям, которые предусмотрены положениями этих договоров, а также законодательством РФ, с учетом особенностей, установленных Положением и Документацией.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right="-29" w:firstLine="709"/>
              <w:jc w:val="both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Предусмот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  <w:t xml:space="preserve">рена возможность Заказчика изменить количество (объем) товара согласно условиям договора и/или Положением о закупках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right="-150"/>
              <w:jc w:val="center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42.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ind w:right="-150"/>
              <w:widowControl w:val="off"/>
              <w:tabs>
                <w:tab w:val="left" w:pos="-4502" w:leader="none"/>
                <w:tab w:val="left" w:pos="-4360" w:leader="none"/>
              </w:tabs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Иная информация о закупке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0"/>
                <w:szCs w:val="20"/>
              </w:rPr>
              <w:t xml:space="preserve">Обоснование необходимости использования иных требований, связанных с определением соответствия поставляемого товара потребностям заказчика: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540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При описании предмета закупки, в том числе материалов, Заказчиком по возможности использовались стандартные показате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ли, требования, условные обозначения и терминология, касающаяся технических и качественных характеристик предмета закупки, установленных в соответствии с техническими регламентами, стандартами и иными требованиями, предусмотренными законодательством Россий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ской Федерации о техническом регулировании. В случае наличия в описании предмета закупки, в том числе материалов,  показателей, требований, условных обозначений и терминологии, касающейся технических и качественных характеристик предмета закупки, установле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нных не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регулировании, то они установлены с целью удовлетворения потребности Заказчика и в связи с применени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ем их Производителями, а также Подрядчиками, Исполнителями при выполнении (оказании) аналогичных работ (услуг).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ind w:firstLine="540"/>
              <w:jc w:val="both"/>
              <w:widowControl w:val="off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В случае если при описании товаров (материалов) использовались ссылки на технические условия (ТУ), участник вправе использовать иное ТУ, соответ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  <w:lang w:eastAsia="en-US"/>
              </w:rPr>
              <w:t xml:space="preserve">ствующее требованиям, установленным в техническом задании</w:t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r>
          </w:p>
        </w:tc>
      </w:tr>
    </w:tbl>
    <w:p>
      <w:pPr>
        <w:contextualSpacing/>
        <w:ind w:firstLine="540"/>
        <w:jc w:val="right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0"/>
        <w:jc w:val="lef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color w:val="000000" w:themeColor="text1"/>
          <w:sz w:val="19"/>
          <w:szCs w:val="19"/>
        </w:rPr>
        <w:t xml:space="preserve">ПРИЛОЖЕНИЕ № 1</w:t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jc w:val="center"/>
        <w:spacing w:before="120"/>
        <w:tabs>
          <w:tab w:val="left" w:pos="9355" w:leader="none"/>
        </w:tabs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yellow"/>
        </w:rPr>
        <w:t xml:space="preserve">ВНИМАНИЮ УЧАСТНИКОВ ЗАКУПКИ!</w:t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jc w:val="center"/>
        <w:spacing w:before="120"/>
        <w:tabs>
          <w:tab w:val="left" w:pos="9355" w:leader="none"/>
        </w:tabs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</w:rPr>
        <w:t xml:space="preserve">Образцы форм документов, включаемых в первую часть заявки</w:t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jc w:val="center"/>
        <w:spacing w:before="120"/>
        <w:tabs>
          <w:tab w:val="left" w:pos="9355" w:leader="none"/>
        </w:tabs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ind w:firstLine="567"/>
        <w:jc w:val="center"/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pPr>
      <w:r>
        <w:rPr>
          <w:rFonts w:ascii="Liberation Serif" w:hAnsi="Liberation Serif" w:eastAsia="Liberation Serif" w:cs="Liberation Serif"/>
          <w:b/>
          <w:sz w:val="19"/>
          <w:szCs w:val="19"/>
          <w:shd w:val="clear" w:color="auto" w:fill="ffff99"/>
        </w:rPr>
        <w:t xml:space="preserve">В первой части заявки на участие в аукционе в электронной форме не допускается указание сведений об участнике аукциона (организационно-правовую форму, адрес, печати, подписи, и пр.), а также сведений о ценовом предложении!</w:t>
      </w:r>
      <w:r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r>
      <w:r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r>
    </w:p>
    <w:p>
      <w:pPr>
        <w:contextualSpacing/>
        <w:ind w:firstLine="567"/>
        <w:jc w:val="center"/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pPr>
      <w:r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r>
      <w:r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r>
      <w:r>
        <w:rPr>
          <w:rFonts w:ascii="Liberation Serif" w:hAnsi="Liberation Serif" w:cs="Liberation Serif"/>
          <w:b/>
          <w:sz w:val="19"/>
          <w:szCs w:val="19"/>
          <w:shd w:val="clear" w:color="auto" w:fill="ffff99"/>
        </w:rPr>
      </w:r>
    </w:p>
    <w:p>
      <w:pPr>
        <w:contextualSpacing/>
        <w:ind w:firstLine="567"/>
        <w:jc w:val="center"/>
        <w:rPr>
          <w:rFonts w:ascii="Liberation Serif" w:hAnsi="Liberation Serif" w:cs="Liberation Serif"/>
          <w:b/>
          <w:bCs/>
          <w:sz w:val="19"/>
          <w:szCs w:val="19"/>
          <w:shd w:val="clear" w:color="auto" w:fill="ffff99"/>
        </w:rPr>
      </w:pPr>
      <w:r>
        <w:rPr>
          <w:rFonts w:ascii="Liberation Serif" w:hAnsi="Liberation Serif" w:eastAsia="Liberation Serif" w:cs="Liberation Serif"/>
          <w:b/>
          <w:iCs/>
          <w:sz w:val="19"/>
          <w:szCs w:val="19"/>
        </w:rPr>
        <w:t xml:space="preserve">ПЕРВАЯ ЧАСТЬ ЗАЯВКИ</w:t>
      </w:r>
      <w:r>
        <w:rPr>
          <w:rFonts w:ascii="Liberation Serif" w:hAnsi="Liberation Serif" w:cs="Liberation Serif"/>
          <w:b/>
          <w:bCs/>
          <w:sz w:val="19"/>
          <w:szCs w:val="19"/>
          <w:shd w:val="clear" w:color="auto" w:fill="ffff99"/>
        </w:rPr>
      </w:r>
      <w:r>
        <w:rPr>
          <w:rFonts w:ascii="Liberation Serif" w:hAnsi="Liberation Serif" w:cs="Liberation Serif"/>
          <w:b/>
          <w:bCs/>
          <w:sz w:val="19"/>
          <w:szCs w:val="19"/>
          <w:shd w:val="clear" w:color="auto" w:fill="ffff99"/>
        </w:rPr>
      </w:r>
    </w:p>
    <w:p>
      <w:pPr>
        <w:contextualSpacing/>
        <w:ind w:left="-540"/>
        <w:jc w:val="center"/>
        <w:rPr>
          <w:rFonts w:ascii="Liberation Serif" w:hAnsi="Liberation Serif" w:cs="Liberation Serif"/>
          <w:b/>
          <w:color w:val="000000"/>
          <w:sz w:val="19"/>
          <w:szCs w:val="19"/>
        </w:rPr>
      </w:pPr>
      <w:r>
        <w:rPr>
          <w:rFonts w:ascii="Liberation Serif" w:hAnsi="Liberation Serif" w:cs="Liberation Serif"/>
          <w:b/>
          <w:color w:val="000000"/>
          <w:sz w:val="19"/>
          <w:szCs w:val="19"/>
        </w:rPr>
      </w:r>
      <w:r>
        <w:rPr>
          <w:rFonts w:ascii="Liberation Serif" w:hAnsi="Liberation Serif" w:cs="Liberation Serif"/>
          <w:b/>
          <w:color w:val="000000"/>
          <w:sz w:val="19"/>
          <w:szCs w:val="19"/>
        </w:rPr>
      </w:r>
      <w:r>
        <w:rPr>
          <w:rFonts w:ascii="Liberation Serif" w:hAnsi="Liberation Serif" w:cs="Liberation Serif"/>
          <w:b/>
          <w:color w:val="000000"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color w:val="000000"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color w:val="000000"/>
          <w:sz w:val="19"/>
          <w:szCs w:val="19"/>
        </w:rPr>
        <w:t xml:space="preserve">ЗАЯВКА НА УЧАСТИЕ В АУКЦИОНЕ В ЭЛЕКТРОННОЙ ФОРМЕ </w:t>
      </w:r>
      <w:r>
        <w:rPr>
          <w:rFonts w:ascii="Liberation Serif" w:hAnsi="Liberation Serif" w:cs="Liberation Serif"/>
          <w:b/>
          <w:bCs/>
          <w:color w:val="000000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/>
          <w:sz w:val="19"/>
          <w:szCs w:val="19"/>
        </w:rPr>
      </w:r>
    </w:p>
    <w:p>
      <w:pPr>
        <w:contextualSpacing/>
        <w:ind w:left="360"/>
        <w:rPr>
          <w:rFonts w:ascii="Liberation Serif" w:hAnsi="Liberation Serif" w:cs="Liberation Serif"/>
          <w:b/>
          <w:color w:val="000000"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color w:val="000000"/>
          <w:sz w:val="19"/>
          <w:szCs w:val="19"/>
        </w:rPr>
        <w:t xml:space="preserve">             </w:t>
      </w:r>
      <w:r>
        <w:rPr>
          <w:rFonts w:ascii="Liberation Serif" w:hAnsi="Liberation Serif" w:eastAsia="Liberation Serif" w:cs="Liberation Serif"/>
          <w:b/>
          <w:color w:val="000000"/>
          <w:sz w:val="19"/>
          <w:szCs w:val="19"/>
        </w:rPr>
        <w:t xml:space="preserve">Кому</w:t>
      </w: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:</w:t>
      </w:r>
      <w:r>
        <w:rPr>
          <w:rFonts w:ascii="Liberation Serif" w:hAnsi="Liberation Serif" w:eastAsia="Liberation Serif" w:cs="Liberation Serif"/>
          <w:b/>
          <w:color w:val="000000"/>
          <w:sz w:val="19"/>
          <w:szCs w:val="19"/>
        </w:rPr>
        <w:t xml:space="preserve">   </w:t>
      </w:r>
      <w:r>
        <w:rPr>
          <w:rFonts w:ascii="Liberation Serif" w:hAnsi="Liberation Serif" w:eastAsia="Liberation Serif" w:cs="Liberation Serif"/>
          <w:b/>
          <w:color w:val="000000"/>
          <w:sz w:val="19"/>
          <w:szCs w:val="19"/>
        </w:rPr>
        <w:t xml:space="preserve">   ______                                                                       </w:t>
      </w:r>
      <w:r>
        <w:rPr>
          <w:rFonts w:ascii="Liberation Serif" w:hAnsi="Liberation Serif" w:cs="Liberation Serif"/>
          <w:b/>
          <w:color w:val="000000"/>
          <w:sz w:val="19"/>
          <w:szCs w:val="19"/>
        </w:rPr>
      </w:r>
      <w:r>
        <w:rPr>
          <w:rFonts w:ascii="Liberation Serif" w:hAnsi="Liberation Serif" w:cs="Liberation Serif"/>
          <w:b/>
          <w:color w:val="000000"/>
          <w:sz w:val="19"/>
          <w:szCs w:val="19"/>
        </w:rPr>
      </w:r>
    </w:p>
    <w:p>
      <w:pPr>
        <w:contextualSpacing/>
        <w:ind w:firstLine="709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Изучив извещение и документацию о закупке (включая все изменения и разъяснения к ней), размещенные _________ 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highlight w:val="lightGray"/>
          <w:lang w:eastAsia="ar-SA"/>
        </w:rPr>
        <w:t xml:space="preserve">[указывается дата официального размещения извещения, а также его номер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], и безоговорочно принимая установленные в них требования и условия участия 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в закупке, в том числе в отношении проекта договора, заключаемого по итогам закупки, мы, являясь участником процедуры закупки, предлагаем заключить Договор на: _________________________________________________ </w:t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Мы подтверждаем свое согласие участвовать в 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вышеуказанной закупке на условиях, установленных извещением, документацией о закупке, регламентом ЭТП и Положением о закупке, а также поставить товар на условиях проекта договора, представленного в составе документации о закупке, со всеми приложениями к не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му.</w:t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В случае признания нас победителем закупки, а также в случае принятия заказчиком решения о заключении с нами договора как с единственным участником конкурентной закупки мы берем на себя обязательства подписать со своей стороны договор в соответствии с 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требованиями документации о закупке и условиями нашей заявки.</w:t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highlight w:val="yellow"/>
          <w:lang w:eastAsia="ar-SA"/>
        </w:rPr>
        <w:t xml:space="preserve">*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В соответствии с обязательными требованиями к участникам закупки подтверждаем наличие у нас специальных допусков, разрешений, лицензий и прочих разрешительных документов в соответствии с законо</w:t>
      </w:r>
      <w:r>
        <w:rPr>
          <w:rFonts w:ascii="Liberation Serif" w:hAnsi="Liberation Serif" w:eastAsia="Liberation Serif" w:cs="Liberation Serif"/>
          <w:bCs/>
          <w:iCs/>
          <w:color w:val="000000" w:themeColor="text1"/>
          <w:sz w:val="19"/>
          <w:szCs w:val="19"/>
          <w:lang w:eastAsia="ar-SA"/>
        </w:rPr>
        <w:t xml:space="preserve">дательством для исполнения обязательств по предмету договора.</w:t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Cs/>
          <w:iCs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</w:rPr>
        <w:t xml:space="preserve">Цена предложения указана с учетом стоимости товара (работы, услуги), расходов на перевозку, разгрузку, перемещения до мест хранения, указанного Заказчиком, расходов на страхование, на уплату там</w:t>
      </w: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</w:rPr>
        <w:t xml:space="preserve">оженных сборов, налогов, сборов и других обязательных платежей, иных необходимых (прочих) расходов.</w:t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widowControl w:val="off"/>
        <w:tabs>
          <w:tab w:val="left" w:pos="1309" w:leader="none"/>
        </w:tabs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Мы согласны с тем, что в случае, если нами не были учтены какие - либо расценки на доставку товаров, которые должны быть поставлены в соответствии с предмет</w:t>
      </w: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ом закупки, данные товары   будут в любом случае поставлены в полном соответствии с условиями договора и в пределах предлагаемой нами цене договора.</w:t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pStyle w:val="987"/>
        <w:contextualSpacing/>
        <w:ind w:firstLine="0"/>
        <w:spacing w:before="0" w:after="0" w:line="240" w:lineRule="auto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pStyle w:val="987"/>
        <w:contextualSpacing/>
        <w:ind w:left="360" w:firstLine="0"/>
        <w:spacing w:before="0" w:after="0" w:line="240" w:lineRule="auto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  <w:highlight w:val="yellow"/>
        </w:rPr>
        <w:t xml:space="preserve">*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19"/>
          <w:szCs w:val="19"/>
        </w:rPr>
        <w:t xml:space="preserve">При отсутствии соответствующего обязательного требования в п. 10 Документации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19"/>
          <w:szCs w:val="19"/>
        </w:rPr>
        <w:t xml:space="preserve"> – данный абзац следует исключить из текста заявки.</w:t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ind w:firstLine="0"/>
        <w:jc w:val="left"/>
        <w:rPr>
          <w:rFonts w:ascii="Liberation Serif" w:hAnsi="Liberation Serif" w:cs="Liberation Serif"/>
          <w:b/>
          <w:sz w:val="19"/>
          <w:szCs w:val="19"/>
        </w:rPr>
      </w:pPr>
      <w:r>
        <w:rPr>
          <w:rFonts w:ascii="Liberation Serif" w:hAnsi="Liberation Serif" w:cs="Liberation Serif"/>
          <w:b/>
          <w:sz w:val="19"/>
          <w:szCs w:val="19"/>
        </w:rPr>
      </w:r>
      <w:r>
        <w:rPr>
          <w:rFonts w:ascii="Liberation Serif" w:hAnsi="Liberation Serif" w:cs="Liberation Serif"/>
          <w:b/>
          <w:sz w:val="19"/>
          <w:szCs w:val="19"/>
        </w:rPr>
      </w:r>
      <w:r>
        <w:rPr>
          <w:rFonts w:ascii="Liberation Serif" w:hAnsi="Liberation Serif" w:cs="Liberation Serif"/>
          <w:b/>
          <w:sz w:val="19"/>
          <w:szCs w:val="19"/>
        </w:rPr>
      </w:r>
    </w:p>
    <w:p>
      <w:pPr>
        <w:contextualSpacing/>
        <w:ind w:firstLine="540"/>
        <w:jc w:val="center"/>
        <w:rPr>
          <w:rFonts w:ascii="Liberation Serif" w:hAnsi="Liberation Serif" w:cs="Liberation Serif"/>
          <w:b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sz w:val="19"/>
          <w:szCs w:val="19"/>
        </w:rPr>
        <w:t xml:space="preserve">Предложение в отношении предмета закупки</w:t>
      </w:r>
      <w:r>
        <w:rPr>
          <w:rFonts w:ascii="Liberation Serif" w:hAnsi="Liberation Serif" w:cs="Liberation Serif"/>
          <w:b/>
          <w:sz w:val="19"/>
          <w:szCs w:val="19"/>
        </w:rPr>
      </w:r>
      <w:r>
        <w:rPr>
          <w:rFonts w:ascii="Liberation Serif" w:hAnsi="Liberation Serif" w:cs="Liberation Serif"/>
          <w:b/>
          <w:sz w:val="19"/>
          <w:szCs w:val="19"/>
        </w:rPr>
      </w:r>
    </w:p>
    <w:p>
      <w:pPr>
        <w:contextualSpacing/>
        <w:ind w:firstLine="540"/>
        <w:jc w:val="center"/>
        <w:rPr>
          <w:rFonts w:ascii="Liberation Serif" w:hAnsi="Liberation Serif" w:cs="Liberation Serif"/>
          <w:b/>
          <w:sz w:val="19"/>
          <w:szCs w:val="19"/>
        </w:rPr>
      </w:pPr>
      <w:r>
        <w:rPr>
          <w:rFonts w:ascii="Liberation Serif" w:hAnsi="Liberation Serif" w:cs="Liberation Serif"/>
          <w:b/>
          <w:sz w:val="19"/>
          <w:szCs w:val="19"/>
        </w:rPr>
      </w:r>
      <w:r>
        <w:rPr>
          <w:rFonts w:ascii="Liberation Serif" w:hAnsi="Liberation Serif" w:cs="Liberation Serif"/>
          <w:b/>
          <w:sz w:val="19"/>
          <w:szCs w:val="19"/>
        </w:rPr>
      </w:r>
      <w:r>
        <w:rPr>
          <w:rFonts w:ascii="Liberation Serif" w:hAnsi="Liberation Serif" w:cs="Liberation Serif"/>
          <w:b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</w:rPr>
        <w:t xml:space="preserve">«СВЕДЕНИЯ О ФУНКЦИОНАЛЬНЫХ, ТЕХНИЧЕСКИХ И КАЧЕСТВЕННЫХ ХАРАКТЕРИСТИКАХ ТОВАРА </w:t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</w:rPr>
        <w:t xml:space="preserve">(РАБОТЫ, ОКАЗЫВАЕМЫХ УСЛУГ), ЭКСПЛУАТАЦИОННЫХ ХАРАКТЕРИСТИКАХ ТОВАРА (ПРИ НЕОБХОД</w:t>
      </w:r>
      <w:r>
        <w:rPr>
          <w:rFonts w:ascii="Liberation Serif" w:hAnsi="Liberation Serif" w:eastAsia="Liberation Serif" w:cs="Liberation Serif"/>
          <w:color w:val="000000" w:themeColor="text1"/>
          <w:sz w:val="19"/>
          <w:szCs w:val="19"/>
        </w:rPr>
        <w:t xml:space="preserve">ИМОСТИ), И ИНЫЕ СВЕДЕНИЯ О ТОВАРЕ, ПРЕДСТАВЛЕНИЕ КОТОРЫХ ПРЕДУСМОТРЕНО ДОКУМЕНТАЦИЕЙ»</w:t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tbl>
      <w:tblPr>
        <w:tblW w:w="0" w:type="auto"/>
        <w:tblInd w:w="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2515"/>
        <w:gridCol w:w="1701"/>
        <w:gridCol w:w="3005"/>
        <w:gridCol w:w="992"/>
        <w:gridCol w:w="965"/>
      </w:tblGrid>
      <w:tr>
        <w:tblPrEx/>
        <w:trPr/>
        <w:tc>
          <w:tcPr>
            <w:tcW w:w="436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№ 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251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Наименование предлагаемых товаров (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наличии))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Наименование страны происхождения товара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Характеристика товаров (функциональные характер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истики (потребительские свойства), технические, качественные и количественные характеристики)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Ед. изм.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Кол-во</w:t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</w:tr>
      <w:tr>
        <w:tblPrEx/>
        <w:trPr/>
        <w:tc>
          <w:tcPr>
            <w:tcW w:w="436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/>
            <w:bookmarkStart w:id="2" w:name="_Toc377733156"/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1</w:t>
            </w:r>
            <w:bookmarkEnd w:id="2"/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251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</w:tr>
      <w:tr>
        <w:tblPrEx/>
        <w:trPr/>
        <w:tc>
          <w:tcPr>
            <w:tcW w:w="436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/>
            <w:bookmarkStart w:id="3" w:name="_Toc377733157"/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…</w:t>
            </w:r>
            <w:bookmarkEnd w:id="3"/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251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  <w:tc>
          <w:tcPr>
            <w:tcW w:w="965" w:type="dxa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sz w:val="19"/>
                <w:szCs w:val="19"/>
              </w:rPr>
            </w:r>
          </w:p>
        </w:tc>
      </w:tr>
    </w:tbl>
    <w:p>
      <w:pPr>
        <w:contextualSpacing/>
        <w:rPr>
          <w:rFonts w:ascii="Liberation Serif" w:hAnsi="Liberation Serif" w:cs="Liberation Serif"/>
          <w:sz w:val="19"/>
          <w:szCs w:val="19"/>
          <w:highlight w:val="yellow"/>
        </w:rPr>
      </w:pPr>
      <w:r>
        <w:rPr>
          <w:rFonts w:ascii="Liberation Serif" w:hAnsi="Liberation Serif" w:cs="Liberation Serif"/>
          <w:sz w:val="19"/>
          <w:szCs w:val="19"/>
          <w:highlight w:val="yellow"/>
        </w:rPr>
      </w:r>
      <w:r>
        <w:rPr>
          <w:rFonts w:ascii="Liberation Serif" w:hAnsi="Liberation Serif" w:cs="Liberation Serif"/>
          <w:sz w:val="19"/>
          <w:szCs w:val="19"/>
          <w:highlight w:val="yellow"/>
        </w:rPr>
      </w:r>
      <w:r>
        <w:rPr>
          <w:rFonts w:ascii="Liberation Serif" w:hAnsi="Liberation Serif" w:cs="Liberation Serif"/>
          <w:sz w:val="19"/>
          <w:szCs w:val="19"/>
          <w:highlight w:val="yellow"/>
        </w:rPr>
      </w:r>
    </w:p>
    <w:p>
      <w:pPr>
        <w:contextualSpacing/>
        <w:ind w:firstLine="0"/>
        <w:jc w:val="left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yellow"/>
        </w:rPr>
        <w:t xml:space="preserve">ВНИМАНИЮ УЧАСТНИКОВ ЗАКУПКИ: РЕКОМЕНДУЕТСЯ ВКЛЮЧАТЬ ВО ВТОРУЮ ЧАСТЬ ЗАЯВКИ!</w:t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jc w:val="center"/>
        <w:spacing w:before="120"/>
        <w:tabs>
          <w:tab w:val="left" w:pos="9355" w:leader="none"/>
        </w:tabs>
        <w:rPr>
          <w:rFonts w:ascii="Liberation Serif" w:hAnsi="Liberation Serif" w:cs="Liberation Serif"/>
          <w:b/>
          <w:bCs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sz w:val="19"/>
          <w:szCs w:val="19"/>
        </w:rPr>
        <w:t xml:space="preserve">Образцы форм документов, включаемых во вторую часть заявки</w:t>
      </w:r>
      <w:r>
        <w:rPr>
          <w:rFonts w:ascii="Liberation Serif" w:hAnsi="Liberation Serif" w:cs="Liberation Serif"/>
          <w:b/>
          <w:bCs/>
          <w:sz w:val="19"/>
          <w:szCs w:val="19"/>
        </w:rPr>
      </w:r>
      <w:r>
        <w:rPr>
          <w:rFonts w:ascii="Liberation Serif" w:hAnsi="Liberation Serif" w:cs="Liberation Serif"/>
          <w:b/>
          <w:bCs/>
          <w:sz w:val="19"/>
          <w:szCs w:val="19"/>
        </w:rPr>
      </w:r>
    </w:p>
    <w:p>
      <w:pPr>
        <w:contextualSpacing/>
        <w:jc w:val="left"/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i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b/>
          <w:bCs/>
          <w:iCs/>
          <w:sz w:val="19"/>
          <w:szCs w:val="19"/>
          <w:highlight w:val="none"/>
        </w:rPr>
      </w:pPr>
      <w:r>
        <w:rPr>
          <w:rFonts w:ascii="Liberation Serif" w:hAnsi="Liberation Serif" w:eastAsia="Liberation Serif" w:cs="Liberation Serif"/>
          <w:b/>
          <w:iCs/>
          <w:sz w:val="19"/>
          <w:szCs w:val="19"/>
        </w:rPr>
        <w:t xml:space="preserve">ВТОРАЯ ЧАСТЬ ЗАЯВКИ </w:t>
      </w:r>
      <w:r>
        <w:rPr>
          <w:rFonts w:ascii="Liberation Serif" w:hAnsi="Liberation Serif" w:eastAsia="Liberation Serif" w:cs="Liberation Serif"/>
          <w:b/>
          <w:bCs/>
          <w:iCs/>
          <w:sz w:val="19"/>
          <w:szCs w:val="19"/>
          <w:highlight w:val="none"/>
        </w:rPr>
      </w:r>
      <w:r>
        <w:rPr>
          <w:rFonts w:ascii="Liberation Serif" w:hAnsi="Liberation Serif" w:eastAsia="Liberation Serif" w:cs="Liberation Serif"/>
          <w:b/>
          <w:bCs/>
          <w:iCs/>
          <w:sz w:val="19"/>
          <w:szCs w:val="19"/>
          <w:highlight w:val="none"/>
        </w:rPr>
      </w:r>
    </w:p>
    <w:p>
      <w:pPr>
        <w:contextualSpacing/>
        <w:jc w:val="center"/>
        <w:rPr>
          <w:rFonts w:ascii="Liberation Serif" w:hAnsi="Liberation Serif" w:eastAsia="Liberation Serif" w:cs="Liberation Serif"/>
          <w:color w:val="000000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Рекомендуемая форма декларации о соответствии участника аукциона требованиям, установленными в п.</w:t>
      </w: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10 Документации</w:t>
      </w: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</w: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</w:r>
    </w:p>
    <w:p>
      <w:pPr>
        <w:contextualSpacing/>
        <w:jc w:val="center"/>
        <w:rPr>
          <w:rFonts w:ascii="Liberation Serif" w:hAnsi="Liberation Serif" w:cs="Liberation Serif"/>
          <w:color w:val="000000"/>
          <w:sz w:val="19"/>
          <w:szCs w:val="19"/>
        </w:rPr>
      </w:pPr>
      <w:r>
        <w:rPr>
          <w:rFonts w:ascii="Liberation Serif" w:hAnsi="Liberation Serif" w:eastAsia="Liberation Serif" w:cs="Liberation Serif"/>
          <w:color w:val="000000"/>
          <w:sz w:val="19"/>
          <w:szCs w:val="19"/>
        </w:rPr>
        <w:t xml:space="preserve"> </w:t>
      </w:r>
      <w:r>
        <w:rPr>
          <w:rFonts w:ascii="Liberation Serif" w:hAnsi="Liberation Serif" w:cs="Liberation Serif"/>
          <w:color w:val="000000"/>
          <w:sz w:val="19"/>
          <w:szCs w:val="19"/>
        </w:rPr>
      </w:r>
      <w:r>
        <w:rPr>
          <w:rFonts w:ascii="Liberation Serif" w:hAnsi="Liberation Serif" w:cs="Liberation Serif"/>
          <w:color w:val="000000"/>
          <w:sz w:val="19"/>
          <w:szCs w:val="19"/>
        </w:rPr>
      </w:r>
    </w:p>
    <w:tbl>
      <w:tblPr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31"/>
      </w:tblGrid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709"/>
              <w:widowControl w:val="off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Настоящим физическое лицо/юридическое лицо______________________________________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  <w:p>
            <w:pPr>
              <w:contextualSpacing/>
              <w:widowControl w:val="off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во второй части заявки на участие в аукционе на ____________________________________________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  <w:p>
            <w:pPr>
              <w:contextualSpacing/>
              <w:widowControl w:val="off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                                                               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                                           (указывается наименование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аукциона )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(реестровый номер закупки ___________________), сообщает о своем соответствии требованиям, установленным</w:t>
            </w:r>
            <w:r>
              <w:rPr>
                <w:rFonts w:ascii="Liberation Serif" w:hAnsi="Liberation Serif" w:eastAsia="Liberation Serif" w:cs="Liberation Serif"/>
                <w:sz w:val="19"/>
                <w:szCs w:val="19"/>
              </w:rPr>
              <w:t xml:space="preserve"> в пункте 10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</w:rPr>
              <w:t xml:space="preserve"> Документации, а именно:</w:t>
            </w:r>
            <w:r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bCs/>
                <w:iCs/>
                <w:color w:val="000000"/>
                <w:sz w:val="19"/>
                <w:szCs w:val="19"/>
              </w:rPr>
              <w:t xml:space="preserve">а) непроведение ликвидации участника конкурентной закупки с участием субъектов малого и среднего предпринимательства - юридического лица и отсутствие решения арбитражного суда о признании участника такой закупки - юридического лица или индивидуального пред</w:t>
            </w:r>
            <w:r>
              <w:rPr>
                <w:rFonts w:ascii="Liberation Serif" w:hAnsi="Liberation Serif" w:eastAsia="Liberation Serif" w:cs="Liberation Serif"/>
                <w:bCs/>
                <w:iCs/>
                <w:color w:val="000000"/>
                <w:sz w:val="19"/>
                <w:szCs w:val="19"/>
              </w:rPr>
              <w:t xml:space="preserve">принимателя несостоятельным (банкротом);</w:t>
            </w:r>
            <w:r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b/>
                <w:i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б)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неприостановление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 деятельности участника конкурентной закупки с участием субъектов малого и среднего предпринимательства в порядке, установленном Кодексом Российской Федерации об административных правонарушениях;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в) отсутствие у участника конкурентной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закупки с участием субъектов малого и среднего предпринимательства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ентов балансовой стоимости активов участника 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им в установленном порядке п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г) отсутствие у участника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конкурентной закупки с участием субъектов малого и среднего предпринимательства - 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прест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упления, предусмотренные статьями 289, 290, 291, 291.1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д) отсутствие фактов привлечения в течение двух лет до момента подачи заявки н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а Российской Федерации об административных правонарушениях;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е)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;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highlight w:val="yellow"/>
                <w:lang w:eastAsia="en-US"/>
              </w:rPr>
              <w:t xml:space="preserve">*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ж)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деятельности, если в связи с исполнением договора заказчик приобретает права на такие результ</w:t>
            </w: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аты;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W w:w="10031" w:type="dxa"/>
            <w:textDirection w:val="lrTb"/>
            <w:noWrap w:val="false"/>
          </w:tcPr>
          <w:p>
            <w:pPr>
              <w:contextualSpacing/>
              <w:ind w:firstLine="540"/>
              <w:jc w:val="both"/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eastAsia="Liberation Serif" w:cs="Liberation Serif"/>
                <w:color w:val="000000"/>
                <w:sz w:val="19"/>
                <w:szCs w:val="19"/>
                <w:lang w:eastAsia="en-US"/>
              </w:rPr>
              <w:t xml:space="preserve">з)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договора.</w:t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  <w:r>
              <w:rPr>
                <w:rFonts w:ascii="Liberation Serif" w:hAnsi="Liberation Serif" w:cs="Liberation Serif"/>
                <w:color w:val="000000"/>
                <w:sz w:val="19"/>
                <w:szCs w:val="19"/>
              </w:rPr>
            </w:r>
          </w:p>
        </w:tc>
      </w:tr>
    </w:tbl>
    <w:p>
      <w:pPr>
        <w:pStyle w:val="987"/>
        <w:contextualSpacing/>
        <w:ind w:firstLine="0"/>
        <w:spacing w:before="0" w:after="0" w:line="240" w:lineRule="auto"/>
        <w:rPr>
          <w:rFonts w:ascii="Liberation Serif" w:hAnsi="Liberation Serif" w:cs="Liberation Serif"/>
          <w:b/>
          <w:color w:val="000000" w:themeColor="text1"/>
          <w:sz w:val="19"/>
          <w:szCs w:val="19"/>
          <w:highlight w:val="yellow"/>
        </w:rPr>
      </w:pPr>
      <w:r>
        <w:rPr>
          <w:rFonts w:ascii="Liberation Serif" w:hAnsi="Liberation Serif" w:cs="Liberation Serif"/>
          <w:b/>
          <w:color w:val="000000" w:themeColor="text1"/>
          <w:sz w:val="19"/>
          <w:szCs w:val="19"/>
          <w:highlight w:val="yellow"/>
        </w:rPr>
      </w:r>
      <w:r>
        <w:rPr>
          <w:rFonts w:ascii="Liberation Serif" w:hAnsi="Liberation Serif" w:cs="Liberation Serif"/>
          <w:b/>
          <w:color w:val="000000" w:themeColor="text1"/>
          <w:sz w:val="19"/>
          <w:szCs w:val="19"/>
          <w:highlight w:val="yellow"/>
        </w:rPr>
      </w:r>
      <w:r>
        <w:rPr>
          <w:rFonts w:ascii="Liberation Serif" w:hAnsi="Liberation Serif" w:cs="Liberation Serif"/>
          <w:b/>
          <w:color w:val="000000" w:themeColor="text1"/>
          <w:sz w:val="19"/>
          <w:szCs w:val="19"/>
          <w:highlight w:val="yellow"/>
        </w:rPr>
      </w:r>
    </w:p>
    <w:p>
      <w:pPr>
        <w:pStyle w:val="987"/>
        <w:contextualSpacing/>
        <w:ind w:firstLine="0"/>
        <w:spacing w:before="0" w:after="0" w:line="240" w:lineRule="auto"/>
        <w:rPr>
          <w:rFonts w:ascii="Liberation Serif" w:hAnsi="Liberation Serif" w:cs="Liberation Serif"/>
          <w:b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9"/>
          <w:szCs w:val="19"/>
          <w:highlight w:val="yellow"/>
        </w:rPr>
        <w:t xml:space="preserve">*</w:t>
      </w:r>
      <w:r>
        <w:rPr>
          <w:rFonts w:ascii="Liberation Serif" w:hAnsi="Liberation Serif" w:eastAsia="Liberation Serif" w:cs="Liberation Serif"/>
          <w:b/>
          <w:color w:val="000000" w:themeColor="text1"/>
          <w:sz w:val="19"/>
          <w:szCs w:val="19"/>
        </w:rPr>
        <w:t xml:space="preserve">Адрес сайта ил</w:t>
      </w:r>
      <w:r>
        <w:rPr>
          <w:rFonts w:ascii="Liberation Serif" w:hAnsi="Liberation Serif" w:eastAsia="Liberation Serif" w:cs="Liberation Serif"/>
          <w:b/>
          <w:color w:val="000000" w:themeColor="text1"/>
          <w:sz w:val="19"/>
          <w:szCs w:val="19"/>
        </w:rPr>
        <w:t xml:space="preserve">и страницы сайта в информационно-телекоммуникационной сети «Интернет», на которых размещены информация и документы, подтверждающие соответствие участника закупки указанным в документации требованиям законодательства Российской Федерации к лицам, осуществля</w:t>
      </w:r>
      <w:r>
        <w:rPr>
          <w:rFonts w:ascii="Liberation Serif" w:hAnsi="Liberation Serif" w:eastAsia="Liberation Serif" w:cs="Liberation Serif"/>
          <w:b/>
          <w:color w:val="000000" w:themeColor="text1"/>
          <w:sz w:val="19"/>
          <w:szCs w:val="19"/>
        </w:rPr>
        <w:t xml:space="preserve">ющим поставку товара, выполнение работы, оказание услуги, являющихся предметом закупки (лицензия, СРО и т.п.), если в соответствии с законодательством Российской Федерации информация и документы, подтверждающие такое соответствие, содержатся в открытых и о</w:t>
      </w:r>
      <w:r>
        <w:rPr>
          <w:rFonts w:ascii="Liberation Serif" w:hAnsi="Liberation Serif" w:eastAsia="Liberation Serif" w:cs="Liberation Serif"/>
          <w:b/>
          <w:color w:val="000000" w:themeColor="text1"/>
          <w:sz w:val="19"/>
          <w:szCs w:val="19"/>
        </w:rPr>
        <w:t xml:space="preserve">бщедоступных государственных реестрах, размещенных в информационно-телекоммуникационной сети «Интернет»  ________________________________________________</w:t>
      </w:r>
      <w:r>
        <w:rPr>
          <w:rFonts w:ascii="Liberation Serif" w:hAnsi="Liberation Serif" w:eastAsia="Liberation Serif" w:cs="Liberation Serif"/>
          <w:b/>
          <w:sz w:val="20"/>
          <w:szCs w:val="20"/>
        </w:rPr>
        <w:br w:type="page" w:clear="all"/>
      </w:r>
      <w:r>
        <w:rPr>
          <w:rFonts w:ascii="Liberation Serif" w:hAnsi="Liberation Serif" w:cs="Liberation Serif"/>
          <w:b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color w:val="000000" w:themeColor="text1"/>
          <w:sz w:val="19"/>
          <w:szCs w:val="19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540"/>
        <w:jc w:val="right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000000" w:themeColor="text1"/>
          <w:sz w:val="20"/>
          <w:szCs w:val="20"/>
        </w:rPr>
        <w:t xml:space="preserve">ПРИЛОЖЕНИЕ № 2</w:t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pStyle w:val="993"/>
        <w:contextualSpacing/>
        <w:jc w:val="center"/>
        <w:tabs>
          <w:tab w:val="clear" w:pos="0" w:leader="none"/>
          <w:tab w:val="clear" w:pos="959" w:leader="none"/>
          <w:tab w:val="clear" w:pos="1918" w:leader="none"/>
          <w:tab w:val="clear" w:pos="2877" w:leader="none"/>
          <w:tab w:val="clear" w:pos="3836" w:leader="none"/>
          <w:tab w:val="clear" w:pos="4795" w:leader="none"/>
          <w:tab w:val="clear" w:pos="5754" w:leader="none"/>
          <w:tab w:val="clear" w:pos="6713" w:leader="none"/>
          <w:tab w:val="clear" w:pos="7672" w:leader="none"/>
          <w:tab w:val="clear" w:pos="8631" w:leader="none"/>
          <w:tab w:val="clear" w:pos="9590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93"/>
        <w:contextualSpacing/>
        <w:jc w:val="center"/>
        <w:tabs>
          <w:tab w:val="clear" w:pos="0" w:leader="none"/>
          <w:tab w:val="clear" w:pos="959" w:leader="none"/>
          <w:tab w:val="clear" w:pos="1918" w:leader="none"/>
          <w:tab w:val="clear" w:pos="2877" w:leader="none"/>
          <w:tab w:val="clear" w:pos="3836" w:leader="none"/>
          <w:tab w:val="clear" w:pos="4795" w:leader="none"/>
          <w:tab w:val="clear" w:pos="5754" w:leader="none"/>
          <w:tab w:val="clear" w:pos="6713" w:leader="none"/>
          <w:tab w:val="clear" w:pos="7672" w:leader="none"/>
          <w:tab w:val="clear" w:pos="8631" w:leader="none"/>
          <w:tab w:val="clear" w:pos="9590" w:leader="none"/>
        </w:tabs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pStyle w:val="993"/>
        <w:contextualSpacing/>
        <w:jc w:val="center"/>
        <w:tabs>
          <w:tab w:val="clear" w:pos="0" w:leader="none"/>
          <w:tab w:val="clear" w:pos="959" w:leader="none"/>
          <w:tab w:val="clear" w:pos="1918" w:leader="none"/>
          <w:tab w:val="clear" w:pos="2877" w:leader="none"/>
          <w:tab w:val="clear" w:pos="3836" w:leader="none"/>
          <w:tab w:val="clear" w:pos="4795" w:leader="none"/>
          <w:tab w:val="clear" w:pos="5754" w:leader="none"/>
          <w:tab w:val="clear" w:pos="6713" w:leader="none"/>
          <w:tab w:val="clear" w:pos="7672" w:leader="none"/>
          <w:tab w:val="clear" w:pos="8631" w:leader="none"/>
          <w:tab w:val="clear" w:pos="9590" w:leader="none"/>
        </w:tabs>
        <w:rPr>
          <w:rFonts w:ascii="Liberation Serif" w:hAnsi="Liberation Serif" w:eastAsia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</w:rPr>
        <w:t xml:space="preserve">ТЕХНИЧЕСКОЕ ЗАДАНИЕ</w:t>
      </w:r>
      <w:r>
        <w:rPr>
          <w:rFonts w:ascii="Liberation Serif" w:hAnsi="Liberation Serif" w:eastAsia="Liberation Serif" w:cs="Liberation Serif"/>
          <w:b/>
          <w:bCs/>
        </w:rPr>
      </w:r>
      <w:r>
        <w:rPr>
          <w:rFonts w:ascii="Liberation Serif" w:hAnsi="Liberation Serif" w:eastAsia="Liberation Serif" w:cs="Liberation Serif"/>
          <w:b/>
          <w:bCs/>
        </w:rPr>
      </w:r>
    </w:p>
    <w:p>
      <w:pPr>
        <w:contextualSpacing/>
        <w:ind w:right="-142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firstLine="708"/>
        <w:jc w:val="center"/>
        <w:rPr>
          <w:rFonts w:ascii="Liberation Serif" w:hAnsi="Liberation Serif" w:cs="Liberation Serif"/>
          <w:color w:val="000000" w:themeColor="text1"/>
          <w:sz w:val="19"/>
          <w:szCs w:val="19"/>
        </w:rPr>
      </w:pP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color w:val="000000" w:themeColor="text1"/>
          <w:sz w:val="19"/>
          <w:szCs w:val="19"/>
        </w:rPr>
      </w:r>
    </w:p>
    <w:p>
      <w:pPr>
        <w:contextualSpacing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pPr>
      <w:r>
        <w:rPr>
          <w:rFonts w:ascii="Liberation Serif" w:hAnsi="Liberation Serif" w:eastAsia="Liberation Serif" w:cs="Liberation Serif"/>
          <w:b/>
          <w:bCs/>
          <w:color w:val="000000" w:themeColor="text1"/>
          <w:sz w:val="20"/>
          <w:szCs w:val="20"/>
        </w:rPr>
        <w:t xml:space="preserve"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  <w:r>
        <w:rPr>
          <w:rFonts w:ascii="Liberation Serif" w:hAnsi="Liberation Serif" w:cs="Liberation Serif"/>
          <w:b/>
          <w:bCs/>
          <w:color w:val="000000" w:themeColor="text1"/>
          <w:sz w:val="19"/>
          <w:szCs w:val="19"/>
        </w:rPr>
      </w:r>
    </w:p>
    <w:p>
      <w:pPr>
        <w:contextualSpacing/>
        <w:ind w:right="-142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tbl>
      <w:tblPr>
        <w:tblW w:w="1020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5245"/>
        <w:gridCol w:w="850"/>
        <w:gridCol w:w="992"/>
      </w:tblGrid>
      <w:tr>
        <w:tblPrEx/>
        <w:trPr>
          <w:trHeight w:val="584"/>
        </w:trPr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п/п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W w:w="2409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Наименование товара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W w:w="5244" w:type="dxa"/>
            <w:vAlign w:val="center"/>
            <w:textDirection w:val="lrTb"/>
            <w:noWrap/>
          </w:tcPr>
          <w:p>
            <w:pPr>
              <w:pStyle w:val="973"/>
              <w:ind w:firstLine="0"/>
              <w:spacing w:after="0"/>
              <w:shd w:val="clear" w:color="auto" w:fill="auto"/>
              <w:rPr>
                <w:rFonts w:ascii="Liberation Serif" w:hAnsi="Liberation Serif" w:cs="Liberation Serif"/>
                <w:sz w:val="22"/>
                <w:szCs w:val="22"/>
                <w:vertAlign w:val="subscript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bidi="ru-RU"/>
              </w:rPr>
              <w:t xml:space="preserve">Физико-химические и э</w:t>
            </w:r>
            <w:r>
              <w:rPr>
                <w:rFonts w:ascii="Liberation Serif" w:hAnsi="Liberation Serif" w:eastAsia="Liberation Serif" w:cs="Liberation Serif"/>
                <w:b/>
                <w:bCs/>
                <w:lang w:bidi="ru-RU"/>
              </w:rPr>
              <w:t xml:space="preserve">ксплуатационные показатели</w:t>
            </w:r>
            <w:r>
              <w:rPr>
                <w:rFonts w:ascii="Liberation Serif" w:hAnsi="Liberation Serif" w:cs="Liberation Serif"/>
                <w:sz w:val="22"/>
                <w:szCs w:val="22"/>
                <w:vertAlign w:val="subscript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vertAlign w:val="subscript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trHeight w:val="2807"/>
        </w:trPr>
        <w:tc>
          <w:tcPr>
            <w:tcBorders>
              <w:top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</w:tcBorders>
            <w:tcW w:w="2409" w:type="dxa"/>
            <w:vAlign w:val="center"/>
            <w:textDirection w:val="lrTb"/>
            <w:noWrap/>
          </w:tcPr>
          <w:p>
            <w:pPr>
              <w:pStyle w:val="960"/>
              <w:contextualSpacing/>
              <w:ind w:right="-1"/>
              <w:jc w:val="center"/>
              <w:spacing w:line="0" w:lineRule="atLeast"/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Дизельное топливо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W w:w="5244" w:type="dxa"/>
            <w:vAlign w:val="center"/>
            <w:vMerge w:val="restart"/>
            <w:textDirection w:val="lrTb"/>
            <w:noWrap/>
          </w:tcPr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tabs>
                <w:tab w:val="left" w:pos="1498" w:leader="none"/>
                <w:tab w:val="left" w:pos="3658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Цетановое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число :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 не менее 47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tabs>
                <w:tab w:val="left" w:pos="1498" w:leader="none"/>
                <w:tab w:val="left" w:pos="3658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Экологический класс: не ниже К5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tabs>
                <w:tab w:val="left" w:pos="1498" w:leader="none"/>
                <w:tab w:val="left" w:pos="3658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Тип топлива: зимнее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tabs>
                <w:tab w:val="left" w:pos="1498" w:leader="none"/>
                <w:tab w:val="left" w:pos="3658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Сорт / класс топлива: не ниже 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tabs>
                <w:tab w:val="left" w:pos="1498" w:leader="none"/>
                <w:tab w:val="left" w:pos="3658" w:leader="none"/>
              </w:tabs>
            </w:pP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Соответствие 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ГОСТ Р 55475-2013. Топливо дизельное зимнее и арктическое 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депарафинированное</w:t>
            </w: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; ГОСТ 32511-2013 (EN 590:2009). Межгосударственный стандарт. Топливо дизельное ЕВРО. Технические условия;</w:t>
            </w:r>
            <w:r/>
          </w:p>
          <w:p>
            <w:pPr>
              <w:pStyle w:val="973"/>
              <w:ind w:firstLine="0"/>
              <w:jc w:val="left"/>
              <w:spacing w:after="0" w:line="240" w:lineRule="auto"/>
              <w:shd w:val="clear" w:color="auto" w:fill="auto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bidi="ru-RU"/>
              </w:rPr>
              <w:t xml:space="preserve">Соответствие Техническому регламенту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тонна</w:t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 w:cs="Liberation Serif"/>
                <w:sz w:val="19"/>
                <w:szCs w:val="19"/>
                <w:highlight w:val="none"/>
              </w:rPr>
            </w:pPr>
            <w:r>
              <w:rPr>
                <w:rFonts w:ascii="Liberation Serif" w:hAnsi="Liberation Serif" w:cs="Liberation Serif"/>
                <w:sz w:val="19"/>
                <w:szCs w:val="19"/>
                <w:highlight w:val="none"/>
              </w:rPr>
              <w:t xml:space="preserve">53</w:t>
            </w:r>
            <w:r>
              <w:rPr>
                <w:rFonts w:ascii="Liberation Serif" w:hAnsi="Liberation Serif" w:cs="Liberation Serif"/>
                <w:sz w:val="19"/>
                <w:szCs w:val="19"/>
                <w:highlight w:val="none"/>
              </w:rPr>
            </w:r>
            <w:r>
              <w:rPr>
                <w:rFonts w:ascii="Liberation Serif" w:hAnsi="Liberation Serif" w:cs="Liberation Serif"/>
                <w:sz w:val="19"/>
                <w:szCs w:val="19"/>
                <w:highlight w:val="none"/>
              </w:rPr>
            </w:r>
          </w:p>
        </w:tc>
      </w:tr>
    </w:tbl>
    <w:p>
      <w:pPr>
        <w:contextualSpacing/>
        <w:ind w:right="-142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850" w:left="1417" w:header="709" w:footer="709" w:gutter="0"/>
          <w:cols w:num="1" w:sep="0" w:space="1701" w:equalWidth="1"/>
          <w:docGrid w:linePitch="360"/>
        </w:sect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tbl>
      <w:tblPr>
        <w:tblStyle w:val="741"/>
        <w:tblW w:w="0" w:type="auto"/>
        <w:tblLayout w:type="fixed"/>
        <w:tblLook w:val="04A0" w:firstRow="1" w:lastRow="0" w:firstColumn="1" w:lastColumn="0" w:noHBand="0" w:noVBand="1"/>
      </w:tblPr>
      <w:tblGrid>
        <w:gridCol w:w="219"/>
        <w:gridCol w:w="137"/>
        <w:gridCol w:w="154"/>
        <w:gridCol w:w="138"/>
        <w:gridCol w:w="1846"/>
        <w:gridCol w:w="1276"/>
        <w:gridCol w:w="1134"/>
        <w:gridCol w:w="992"/>
        <w:gridCol w:w="1508"/>
        <w:gridCol w:w="1326"/>
        <w:gridCol w:w="1134"/>
        <w:gridCol w:w="221"/>
        <w:gridCol w:w="57"/>
        <w:gridCol w:w="998"/>
        <w:gridCol w:w="1417"/>
        <w:gridCol w:w="1134"/>
        <w:gridCol w:w="709"/>
        <w:gridCol w:w="58"/>
        <w:gridCol w:w="934"/>
      </w:tblGrid>
      <w:tr>
        <w:tblPrEx/>
        <w:trPr>
          <w:trHeight w:val="282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18"/>
                <w:szCs w:val="22"/>
                <w:u w:val="none"/>
                <w:vertAlign w:val="baseline"/>
              </w:rPr>
              <w:t xml:space="preserve">ПРИЛОЖЕНИЕ №3</w:t>
            </w:r>
            <w:r/>
          </w:p>
        </w:tc>
      </w:tr>
      <w:tr>
        <w:tblPrEx/>
        <w:trPr>
          <w:gridAfter w:val="1"/>
          <w:trHeight w:val="282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gridAfter w:val="1"/>
          <w:trHeight w:val="470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21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                                                        ОБОСНОВАНИЕ НАЧАЛЬНОЙ МАКСИМАЛЬНОЙ ЦЕНЫ ДОГОВОРА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gridAfter w:val="1"/>
          <w:trHeight w:val="282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gridAfter w:val="1"/>
          <w:trHeight w:val="235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trHeight w:val="47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№ п/п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Наименование услуги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ОКПД 2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Ед. изм.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Кол-во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ООО «ПЕТРОЛ ПРО»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ООО «Ямал-Дизель»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ООО «Газпромнефть-Региональные продажи»</w:t>
            </w:r>
            <w:r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ООО «Лукойл-Уралнефтьпродукт»</w:t>
            </w:r>
            <w:r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Liberation Serif" w:hAnsi="Liberation Serif" w:cs="Liberation Serif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268" w:leader="none"/>
                <w:tab w:val="left" w:pos="2409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ПАО «НК «Роснефть»-Ямалнефтепродукт»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2268" w:leader="none"/>
                <w:tab w:val="left" w:pos="2409" w:leader="none"/>
              </w:tabs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Лимиты заказчика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trHeight w:val="941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Цена за ед. изм.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Сумма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ОТКАЗ</w:t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Запрос от 18.08.2026 № 89-939/05601-08-02/99</w:t>
            </w:r>
            <w:r>
              <w:rPr>
                <w:rFonts w:ascii="Liberation Serif" w:hAnsi="Liberation Serif" w:cs="Liberation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Запрос от 18.08.2026 № 89-939/05691-08-02/99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Запрос от 18.08.2026 № 89-939/05691-08-02/99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 Цена за ед. изм.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Сумма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trHeight w:val="905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Топливо дизельное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19.20.21.300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  <w:t xml:space="preserve">тонна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  <w:t xml:space="preserve">53</w:t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171 500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,00</w:t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9 089 500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,00</w:t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——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——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  <w:t xml:space="preserve">——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</w:p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</w:p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95 885,00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green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green"/>
              </w:rPr>
            </w:r>
          </w:p>
          <w:p>
            <w:pPr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  <w:t xml:space="preserve">5 081 905,00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207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  <w:t xml:space="preserve">ИТОГО:</w:t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  <w:t xml:space="preserve">9 089 500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  <w:t xml:space="preserve">,00</w:t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41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0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</w: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</w: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18"/>
                <w:szCs w:val="18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  <w:t xml:space="preserve">5 081 905,00</w:t>
            </w:r>
            <w:r>
              <w:rPr>
                <w:rFonts w:ascii="Liberation Serif" w:hAnsi="Liberation Serif" w:eastAsia="Liberation Serif" w:cs="Liberation Serif"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sz w:val="18"/>
                <w:szCs w:val="18"/>
              </w:rPr>
            </w:r>
          </w:p>
        </w:tc>
      </w:tr>
      <w:tr>
        <w:tblPrEx/>
        <w:trPr>
          <w:gridAfter w:val="1"/>
          <w:trHeight w:val="283"/>
        </w:trPr>
        <w:tc>
          <w:tcPr>
            <w:gridSpan w:val="4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gridSpan w:val="2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8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6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ans" w:hAnsi="Liberation Sans" w:eastAsia="Liberation Sans" w:cs="Liberation San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trHeight w:val="113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82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Начальная цена договора сформирована путем изучения рынка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 доведенных бюджетных лимитов.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13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9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4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8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Таким образом,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начальная (максимальная) цена договора составит: 5 081 905 (Пять миллионов восемьдесят одна тысяча девятьсот пять) рублей 00 копеек. На основании лимитов Заказчика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contextualSpacing/>
        <w:ind w:firstLine="360"/>
        <w:jc w:val="center"/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</w:r>
    </w:p>
    <w:sectPr>
      <w:footnotePr/>
      <w:endnotePr/>
      <w:type w:val="continuous"/>
      <w:pgSz w:w="16838" w:h="11906" w:orient="landscape"/>
      <w:pgMar w:top="1247" w:right="851" w:bottom="567" w:left="766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Garamond">
    <w:panose1 w:val="020206030504050203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ourier New">
    <w:panose1 w:val="02070309020205020404"/>
  </w:font>
  <w:font w:name="Cambria">
    <w:panose1 w:val="0204080305040603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644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04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364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64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364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724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724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39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Liberation Serif" w:cs="Liberation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pStyle w:val="967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16" w:hanging="576"/>
        <w:tabs>
          <w:tab w:val="num" w:pos="111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900" w:firstLine="0"/>
        <w:tabs>
          <w:tab w:val="num" w:pos="1127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53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  <w:tabs>
          <w:tab w:val="num" w:pos="0" w:leader="none"/>
        </w:tabs>
      </w:pPr>
      <w:rPr>
        <w:rFonts w:ascii="Cambria" w:hAnsi="Cambria" w:eastAsia="Cambria" w:cs="Cambria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4"/>
  </w:num>
  <w:num w:numId="5">
    <w:abstractNumId w:val="17"/>
  </w:num>
  <w:num w:numId="6">
    <w:abstractNumId w:val="3"/>
  </w:num>
  <w:num w:numId="7">
    <w:abstractNumId w:val="18"/>
  </w:num>
  <w:num w:numId="8">
    <w:abstractNumId w:val="13"/>
  </w:num>
  <w:num w:numId="9">
    <w:abstractNumId w:val="1"/>
  </w:num>
  <w:num w:numId="10">
    <w:abstractNumId w:val="9"/>
  </w:num>
  <w:num w:numId="11">
    <w:abstractNumId w:val="15"/>
  </w:num>
  <w:num w:numId="12">
    <w:abstractNumId w:val="11"/>
  </w:num>
  <w:num w:numId="13">
    <w:abstractNumId w:val="0"/>
  </w:num>
  <w:num w:numId="14">
    <w:abstractNumId w:val="10"/>
  </w:num>
  <w:num w:numId="15">
    <w:abstractNumId w:val="12"/>
  </w:num>
  <w:num w:numId="16">
    <w:abstractNumId w:val="6"/>
  </w:num>
  <w:num w:numId="17">
    <w:abstractNumId w:val="8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2 Char"/>
    <w:basedOn w:val="718"/>
    <w:link w:val="710"/>
    <w:uiPriority w:val="9"/>
    <w:rPr>
      <w:rFonts w:ascii="Arial" w:hAnsi="Arial" w:eastAsia="Arial" w:cs="Arial"/>
      <w:sz w:val="34"/>
    </w:rPr>
  </w:style>
  <w:style w:type="character" w:styleId="704">
    <w:name w:val="Heading 4 Char"/>
    <w:basedOn w:val="718"/>
    <w:link w:val="712"/>
    <w:uiPriority w:val="9"/>
    <w:rPr>
      <w:rFonts w:ascii="Arial" w:hAnsi="Arial" w:eastAsia="Arial" w:cs="Arial"/>
      <w:b/>
      <w:bCs/>
      <w:sz w:val="26"/>
      <w:szCs w:val="26"/>
    </w:rPr>
  </w:style>
  <w:style w:type="character" w:styleId="705">
    <w:name w:val="Heading 5 Char"/>
    <w:basedOn w:val="718"/>
    <w:link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06">
    <w:name w:val="Heading 9 Char"/>
    <w:basedOn w:val="718"/>
    <w:link w:val="717"/>
    <w:uiPriority w:val="9"/>
    <w:rPr>
      <w:rFonts w:ascii="Arial" w:hAnsi="Arial" w:eastAsia="Arial" w:cs="Arial"/>
      <w:i/>
      <w:iCs/>
      <w:sz w:val="21"/>
      <w:szCs w:val="21"/>
    </w:rPr>
  </w:style>
  <w:style w:type="character" w:styleId="707">
    <w:name w:val="Caption Char"/>
    <w:basedOn w:val="718"/>
    <w:link w:val="721"/>
    <w:uiPriority w:val="35"/>
    <w:rPr>
      <w:b/>
      <w:bCs/>
      <w:color w:val="4f81bd" w:themeColor="accent1"/>
      <w:sz w:val="18"/>
      <w:szCs w:val="18"/>
    </w:rPr>
  </w:style>
  <w:style w:type="paragraph" w:styleId="708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709">
    <w:name w:val="Heading 1"/>
    <w:basedOn w:val="708"/>
    <w:next w:val="708"/>
    <w:link w:val="901"/>
    <w:uiPriority w:val="9"/>
    <w:qFormat/>
    <w:pPr>
      <w:keepLines/>
      <w:keepNext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710">
    <w:name w:val="Heading 2"/>
    <w:basedOn w:val="708"/>
    <w:next w:val="708"/>
    <w:link w:val="8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1">
    <w:name w:val="Heading 3"/>
    <w:basedOn w:val="708"/>
    <w:next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8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8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4">
    <w:name w:val="Heading 6"/>
    <w:basedOn w:val="708"/>
    <w:next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8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paragraph" w:styleId="721">
    <w:name w:val="Caption"/>
    <w:basedOn w:val="708"/>
    <w:next w:val="708"/>
    <w:link w:val="8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22">
    <w:name w:val="Plain Table 1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71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71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5 Dark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>
    <w:name w:val="Grid Table 7 Colorful"/>
    <w:basedOn w:val="71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71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71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basedOn w:val="71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9">
    <w:name w:val="List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0">
    <w:name w:val="List Table 7 Colorful"/>
    <w:basedOn w:val="71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6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3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0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1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9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7">
    <w:name w:val="Hyperlink"/>
    <w:link w:val="987"/>
    <w:uiPriority w:val="99"/>
    <w:unhideWhenUsed/>
    <w:rPr>
      <w:color w:val="0000ff" w:themeColor="hyperlink"/>
      <w:u w:val="single"/>
    </w:rPr>
  </w:style>
  <w:style w:type="character" w:styleId="868">
    <w:name w:val="footnote reference"/>
    <w:basedOn w:val="718"/>
    <w:uiPriority w:val="99"/>
    <w:unhideWhenUsed/>
    <w:rPr>
      <w:vertAlign w:val="superscript"/>
    </w:rPr>
  </w:style>
  <w:style w:type="character" w:styleId="869">
    <w:name w:val="endnote reference"/>
    <w:basedOn w:val="718"/>
    <w:uiPriority w:val="99"/>
    <w:semiHidden/>
    <w:unhideWhenUsed/>
    <w:rPr>
      <w:vertAlign w:val="superscript"/>
    </w:rPr>
  </w:style>
  <w:style w:type="paragraph" w:styleId="870" w:customStyle="1">
    <w:name w:val="Заголовок 11"/>
    <w:basedOn w:val="708"/>
    <w:uiPriority w:val="9"/>
    <w:qFormat/>
    <w:pPr>
      <w:keepLines/>
      <w:keepNext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871" w:customStyle="1">
    <w:name w:val="Заголовок 21"/>
    <w:basedOn w:val="708"/>
    <w:uiPriority w:val="9"/>
    <w:unhideWhenUsed/>
    <w:qFormat/>
    <w:pPr>
      <w:keepLines/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872" w:customStyle="1">
    <w:name w:val="Заголовок 31"/>
    <w:basedOn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73" w:customStyle="1">
    <w:name w:val="Заголовок 41"/>
    <w:basedOn w:val="7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74" w:customStyle="1">
    <w:name w:val="Заголовок 51"/>
    <w:basedOn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75" w:customStyle="1">
    <w:name w:val="Заголовок 61"/>
    <w:basedOn w:val="708"/>
    <w:link w:val="9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76" w:customStyle="1">
    <w:name w:val="Оглавление 2 Знак"/>
    <w:basedOn w:val="708"/>
    <w:link w:val="9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77" w:customStyle="1">
    <w:name w:val="Заголовок 81"/>
    <w:basedOn w:val="708"/>
    <w:link w:val="9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78" w:customStyle="1">
    <w:name w:val="Заголовок 91"/>
    <w:basedOn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9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880" w:customStyle="1">
    <w:name w:val="Заголовок 2 Знак1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881" w:customStyle="1">
    <w:name w:val="Heading 3 Char"/>
    <w:basedOn w:val="718"/>
    <w:link w:val="983"/>
    <w:uiPriority w:val="9"/>
    <w:qFormat/>
    <w:rPr>
      <w:rFonts w:ascii="Arial" w:hAnsi="Arial" w:eastAsia="Arial" w:cs="Arial"/>
      <w:sz w:val="30"/>
      <w:szCs w:val="30"/>
    </w:rPr>
  </w:style>
  <w:style w:type="character" w:styleId="882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83" w:customStyle="1">
    <w:name w:val="Заголовок 5 Знак"/>
    <w:basedOn w:val="718"/>
    <w:link w:val="7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84" w:customStyle="1">
    <w:name w:val="Heading 6 Char"/>
    <w:basedOn w:val="718"/>
    <w:link w:val="90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85" w:customStyle="1">
    <w:name w:val="Heading 7 Char"/>
    <w:basedOn w:val="718"/>
    <w:link w:val="92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86" w:customStyle="1">
    <w:name w:val="Heading 8 Char"/>
    <w:basedOn w:val="718"/>
    <w:link w:val="97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87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88" w:customStyle="1">
    <w:name w:val="Title Char"/>
    <w:basedOn w:val="718"/>
    <w:uiPriority w:val="10"/>
    <w:qFormat/>
    <w:rPr>
      <w:sz w:val="48"/>
      <w:szCs w:val="48"/>
    </w:rPr>
  </w:style>
  <w:style w:type="character" w:styleId="889" w:customStyle="1">
    <w:name w:val="Subtitle Char"/>
    <w:basedOn w:val="718"/>
    <w:uiPriority w:val="11"/>
    <w:qFormat/>
    <w:rPr>
      <w:sz w:val="24"/>
      <w:szCs w:val="24"/>
    </w:rPr>
  </w:style>
  <w:style w:type="character" w:styleId="890" w:customStyle="1">
    <w:name w:val="Quote Char"/>
    <w:uiPriority w:val="29"/>
    <w:qFormat/>
    <w:rPr>
      <w:i/>
    </w:rPr>
  </w:style>
  <w:style w:type="character" w:styleId="891" w:customStyle="1">
    <w:name w:val="Intense Quote Char"/>
    <w:uiPriority w:val="30"/>
    <w:qFormat/>
    <w:rPr>
      <w:i/>
    </w:rPr>
  </w:style>
  <w:style w:type="character" w:styleId="892" w:customStyle="1">
    <w:name w:val="Header Char"/>
    <w:basedOn w:val="718"/>
    <w:uiPriority w:val="99"/>
    <w:qFormat/>
  </w:style>
  <w:style w:type="character" w:styleId="893" w:customStyle="1">
    <w:name w:val="Footer Char"/>
    <w:basedOn w:val="718"/>
    <w:uiPriority w:val="99"/>
    <w:qFormat/>
  </w:style>
  <w:style w:type="character" w:styleId="894" w:customStyle="1">
    <w:name w:val="Название объекта Знак"/>
    <w:link w:val="721"/>
    <w:uiPriority w:val="99"/>
    <w:qFormat/>
  </w:style>
  <w:style w:type="character" w:styleId="895" w:customStyle="1">
    <w:name w:val="Footnote Text Char"/>
    <w:uiPriority w:val="99"/>
    <w:qFormat/>
    <w:rPr>
      <w:sz w:val="18"/>
    </w:rPr>
  </w:style>
  <w:style w:type="character" w:styleId="896" w:customStyle="1">
    <w:name w:val="Привязка сноски"/>
    <w:rPr>
      <w:vertAlign w:val="superscript"/>
    </w:rPr>
  </w:style>
  <w:style w:type="character" w:styleId="897" w:customStyle="1">
    <w:name w:val="Footnote Characters"/>
    <w:uiPriority w:val="99"/>
    <w:unhideWhenUsed/>
    <w:qFormat/>
    <w:rPr>
      <w:vertAlign w:val="superscript"/>
    </w:rPr>
  </w:style>
  <w:style w:type="character" w:styleId="898" w:customStyle="1">
    <w:name w:val="Endnote Text Char"/>
    <w:uiPriority w:val="99"/>
    <w:qFormat/>
    <w:rPr>
      <w:sz w:val="20"/>
    </w:rPr>
  </w:style>
  <w:style w:type="character" w:styleId="899" w:customStyle="1">
    <w:name w:val="Привязка концевой сноски"/>
    <w:rPr>
      <w:vertAlign w:val="superscript"/>
    </w:rPr>
  </w:style>
  <w:style w:type="character" w:styleId="900" w:customStyle="1">
    <w:name w:val="Endnote Characters"/>
    <w:uiPriority w:val="99"/>
    <w:semiHidden/>
    <w:unhideWhenUsed/>
    <w:qFormat/>
    <w:rPr>
      <w:vertAlign w:val="superscript"/>
    </w:rPr>
  </w:style>
  <w:style w:type="character" w:styleId="901" w:customStyle="1">
    <w:name w:val="Заголовок 1 Знак"/>
    <w:link w:val="709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902" w:customStyle="1">
    <w:name w:val="Заголовок 2 Знак"/>
    <w:link w:val="884"/>
    <w:uiPriority w:val="9"/>
    <w:qFormat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styleId="903" w:customStyle="1">
    <w:name w:val="Дата Знак"/>
    <w:uiPriority w:val="9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04" w:customStyle="1">
    <w:name w:val="Верхний колонтитул Знак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5" w:customStyle="1">
    <w:name w:val="Нижний колонтитул Знак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>
    <w:name w:val="page number"/>
    <w:qFormat/>
    <w:rPr>
      <w:rFonts w:ascii="Times New Roman" w:hAnsi="Times New Roman" w:cs="Times New Roman"/>
    </w:rPr>
  </w:style>
  <w:style w:type="character" w:styleId="907" w:customStyle="1">
    <w:name w:val="Интернет-ссылка"/>
    <w:uiPriority w:val="99"/>
    <w:rPr>
      <w:rFonts w:cs="Times New Roman"/>
      <w:color w:val="0000ff"/>
      <w:u w:val="single"/>
    </w:rPr>
  </w:style>
  <w:style w:type="character" w:styleId="908" w:customStyle="1">
    <w:name w:val="apple-converted-space"/>
    <w:basedOn w:val="718"/>
    <w:qFormat/>
  </w:style>
  <w:style w:type="character" w:styleId="909" w:customStyle="1">
    <w:name w:val="Основной текст Знак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10" w:customStyle="1">
    <w:name w:val="Основной текст с отступом Знак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11" w:customStyle="1">
    <w:name w:val="Заголовок Знак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12" w:customStyle="1">
    <w:name w:val="Основной текст 3 Знак"/>
    <w:uiPriority w:val="99"/>
    <w:semiHidden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13" w:customStyle="1">
    <w:name w:val="Основной текст с отступом 2 Знак"/>
    <w:link w:val="875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4" w:customStyle="1">
    <w:name w:val="Plain Text Знак"/>
    <w:qFormat/>
    <w:rPr>
      <w:rFonts w:ascii="Courier New" w:hAnsi="Courier New" w:cs="Courier New"/>
    </w:rPr>
  </w:style>
  <w:style w:type="character" w:styleId="915" w:customStyle="1">
    <w:name w:val="mw-headline"/>
    <w:basedOn w:val="718"/>
    <w:qFormat/>
  </w:style>
  <w:style w:type="character" w:styleId="916" w:customStyle="1">
    <w:name w:val="mw-editsection"/>
    <w:basedOn w:val="718"/>
    <w:qFormat/>
  </w:style>
  <w:style w:type="character" w:styleId="917" w:customStyle="1">
    <w:name w:val="mw-editsection-bracket"/>
    <w:basedOn w:val="718"/>
    <w:qFormat/>
  </w:style>
  <w:style w:type="character" w:styleId="918" w:customStyle="1">
    <w:name w:val="Текст выноски Знак"/>
    <w:uiPriority w:val="99"/>
    <w:semiHidden/>
    <w:qFormat/>
    <w:rPr>
      <w:rFonts w:ascii="Tahoma" w:hAnsi="Tahoma" w:eastAsia="Calibri" w:cs="Tahoma"/>
      <w:sz w:val="16"/>
      <w:szCs w:val="16"/>
    </w:rPr>
  </w:style>
  <w:style w:type="character" w:styleId="919" w:customStyle="1">
    <w:name w:val="techname"/>
    <w:basedOn w:val="718"/>
    <w:qFormat/>
  </w:style>
  <w:style w:type="character" w:styleId="920" w:customStyle="1">
    <w:name w:val="apple-style-span"/>
    <w:qFormat/>
    <w:rPr>
      <w:rFonts w:ascii="Times New Roman" w:hAnsi="Times New Roman" w:cs="Times New Roman"/>
    </w:rPr>
  </w:style>
  <w:style w:type="character" w:styleId="921" w:customStyle="1">
    <w:name w:val="Основной текст (2)_"/>
    <w:link w:val="885"/>
    <w:qFormat/>
    <w:rPr>
      <w:shd w:val="clear" w:color="auto" w:fill="ffffff"/>
    </w:rPr>
  </w:style>
  <w:style w:type="character" w:styleId="922" w:customStyle="1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styleId="923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924" w:customStyle="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styleId="925">
    <w:name w:val="Strong"/>
    <w:uiPriority w:val="22"/>
    <w:qFormat/>
    <w:rPr>
      <w:b/>
      <w:bCs/>
    </w:rPr>
  </w:style>
  <w:style w:type="character" w:styleId="926" w:customStyle="1">
    <w:name w:val="Абзац списка Знак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7" w:customStyle="1">
    <w:name w:val="Без интервала Знак"/>
    <w:uiPriority w:val="1"/>
    <w:qFormat/>
    <w:rPr>
      <w:rFonts w:ascii="Times New Roman" w:hAnsi="Times New Roman" w:eastAsia="Times New Roman"/>
      <w:sz w:val="24"/>
      <w:szCs w:val="24"/>
      <w:lang w:bidi="ar-SA"/>
    </w:rPr>
  </w:style>
  <w:style w:type="character" w:styleId="928" w:customStyle="1">
    <w:name w:val="ConsPlusNormal Знак"/>
    <w:qFormat/>
    <w:rPr>
      <w:rFonts w:ascii="Arial" w:hAnsi="Arial" w:eastAsia="Times New Roman" w:cs="Arial"/>
      <w:lang w:val="ru-RU" w:eastAsia="ru-RU" w:bidi="ar-SA"/>
    </w:rPr>
  </w:style>
  <w:style w:type="character" w:styleId="929" w:customStyle="1">
    <w:name w:val="Heading 1 Char1"/>
    <w:uiPriority w:val="99"/>
    <w:qFormat/>
    <w:rPr>
      <w:rFonts w:ascii="Arial" w:hAnsi="Arial"/>
      <w:b/>
      <w:sz w:val="24"/>
      <w:lang w:val="ru-RU" w:eastAsia="ru-RU"/>
    </w:rPr>
  </w:style>
  <w:style w:type="character" w:styleId="930" w:customStyle="1">
    <w:name w:val="pinkbg1"/>
    <w:qFormat/>
    <w:rPr>
      <w:shd w:val="clear" w:color="auto" w:fill="fdd7c9"/>
    </w:rPr>
  </w:style>
  <w:style w:type="character" w:styleId="931" w:customStyle="1">
    <w:name w:val="Font Style29"/>
    <w:uiPriority w:val="99"/>
    <w:qFormat/>
    <w:rPr>
      <w:rFonts w:ascii="Times New Roman" w:hAnsi="Times New Roman" w:cs="Times New Roman"/>
      <w:sz w:val="22"/>
      <w:szCs w:val="22"/>
    </w:rPr>
  </w:style>
  <w:style w:type="character" w:styleId="932" w:customStyle="1">
    <w:name w:val="Font Style17"/>
    <w:basedOn w:val="718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styleId="933" w:customStyle="1">
    <w:name w:val="dynatree-title"/>
    <w:qFormat/>
  </w:style>
  <w:style w:type="paragraph" w:styleId="934" w:customStyle="1">
    <w:name w:val="Заголовок1"/>
    <w:basedOn w:val="708"/>
    <w:next w:val="935"/>
    <w:link w:val="993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935">
    <w:name w:val="Body Text"/>
    <w:basedOn w:val="708"/>
    <w:pPr>
      <w:jc w:val="both"/>
    </w:pPr>
    <w:rPr>
      <w:lang w:eastAsia="ar-SA"/>
    </w:rPr>
  </w:style>
  <w:style w:type="paragraph" w:styleId="936">
    <w:name w:val="List"/>
    <w:basedOn w:val="935"/>
    <w:rPr>
      <w:rFonts w:cs="Arial"/>
    </w:rPr>
  </w:style>
  <w:style w:type="paragraph" w:styleId="937" w:customStyle="1">
    <w:name w:val="Название объекта1"/>
    <w:basedOn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938">
    <w:name w:val="index heading"/>
    <w:basedOn w:val="708"/>
    <w:qFormat/>
    <w:pPr>
      <w:suppressLineNumbers/>
    </w:pPr>
    <w:rPr>
      <w:rFonts w:cs="Arial"/>
    </w:rPr>
  </w:style>
  <w:style w:type="paragraph" w:styleId="939">
    <w:name w:val="Subtitle"/>
    <w:basedOn w:val="708"/>
    <w:uiPriority w:val="11"/>
    <w:qFormat/>
    <w:pPr>
      <w:spacing w:before="200" w:after="200"/>
    </w:pPr>
  </w:style>
  <w:style w:type="paragraph" w:styleId="940">
    <w:name w:val="Quote"/>
    <w:basedOn w:val="708"/>
    <w:uiPriority w:val="29"/>
    <w:qFormat/>
    <w:pPr>
      <w:ind w:left="720" w:right="720"/>
    </w:pPr>
    <w:rPr>
      <w:i/>
    </w:rPr>
  </w:style>
  <w:style w:type="paragraph" w:styleId="941">
    <w:name w:val="Intense Quote"/>
    <w:basedOn w:val="7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42">
    <w:name w:val="footnote text"/>
    <w:basedOn w:val="708"/>
    <w:uiPriority w:val="99"/>
    <w:semiHidden/>
    <w:unhideWhenUsed/>
    <w:pPr>
      <w:spacing w:after="40"/>
    </w:pPr>
    <w:rPr>
      <w:sz w:val="18"/>
    </w:rPr>
  </w:style>
  <w:style w:type="paragraph" w:styleId="943">
    <w:name w:val="endnote text"/>
    <w:basedOn w:val="708"/>
    <w:uiPriority w:val="99"/>
    <w:semiHidden/>
    <w:unhideWhenUsed/>
    <w:rPr>
      <w:sz w:val="20"/>
    </w:rPr>
  </w:style>
  <w:style w:type="paragraph" w:styleId="944">
    <w:name w:val="toc 1"/>
    <w:basedOn w:val="708"/>
    <w:uiPriority w:val="39"/>
    <w:unhideWhenUsed/>
    <w:pPr>
      <w:spacing w:after="57"/>
    </w:pPr>
  </w:style>
  <w:style w:type="paragraph" w:styleId="945">
    <w:name w:val="toc 2"/>
    <w:basedOn w:val="708"/>
    <w:link w:val="876"/>
    <w:uiPriority w:val="39"/>
    <w:unhideWhenUsed/>
    <w:pPr>
      <w:ind w:left="283"/>
      <w:spacing w:after="57"/>
    </w:pPr>
  </w:style>
  <w:style w:type="paragraph" w:styleId="946">
    <w:name w:val="toc 3"/>
    <w:basedOn w:val="708"/>
    <w:uiPriority w:val="39"/>
    <w:unhideWhenUsed/>
    <w:pPr>
      <w:ind w:left="567"/>
      <w:spacing w:after="57"/>
    </w:pPr>
  </w:style>
  <w:style w:type="paragraph" w:styleId="947">
    <w:name w:val="toc 4"/>
    <w:basedOn w:val="708"/>
    <w:uiPriority w:val="39"/>
    <w:unhideWhenUsed/>
    <w:pPr>
      <w:ind w:left="850"/>
      <w:spacing w:after="57"/>
    </w:pPr>
  </w:style>
  <w:style w:type="paragraph" w:styleId="948">
    <w:name w:val="toc 5"/>
    <w:basedOn w:val="708"/>
    <w:uiPriority w:val="39"/>
    <w:unhideWhenUsed/>
    <w:pPr>
      <w:ind w:left="1134"/>
      <w:spacing w:after="57"/>
    </w:pPr>
  </w:style>
  <w:style w:type="paragraph" w:styleId="949">
    <w:name w:val="toc 6"/>
    <w:basedOn w:val="708"/>
    <w:uiPriority w:val="39"/>
    <w:unhideWhenUsed/>
    <w:pPr>
      <w:ind w:left="1417"/>
      <w:spacing w:after="57"/>
    </w:pPr>
  </w:style>
  <w:style w:type="paragraph" w:styleId="950">
    <w:name w:val="toc 7"/>
    <w:basedOn w:val="708"/>
    <w:uiPriority w:val="39"/>
    <w:unhideWhenUsed/>
    <w:pPr>
      <w:ind w:left="1701"/>
      <w:spacing w:after="57"/>
    </w:pPr>
  </w:style>
  <w:style w:type="paragraph" w:styleId="951">
    <w:name w:val="toc 8"/>
    <w:basedOn w:val="708"/>
    <w:uiPriority w:val="39"/>
    <w:unhideWhenUsed/>
    <w:pPr>
      <w:ind w:left="1984"/>
      <w:spacing w:after="57"/>
    </w:pPr>
  </w:style>
  <w:style w:type="paragraph" w:styleId="952">
    <w:name w:val="toc 9"/>
    <w:basedOn w:val="708"/>
    <w:uiPriority w:val="39"/>
    <w:unhideWhenUsed/>
    <w:pPr>
      <w:ind w:left="2268"/>
      <w:spacing w:after="57"/>
    </w:pPr>
  </w:style>
  <w:style w:type="paragraph" w:styleId="953">
    <w:name w:val="TOC Heading"/>
    <w:uiPriority w:val="39"/>
    <w:unhideWhenUsed/>
    <w:qFormat/>
  </w:style>
  <w:style w:type="paragraph" w:styleId="954">
    <w:name w:val="table of figures"/>
    <w:basedOn w:val="708"/>
    <w:uiPriority w:val="99"/>
    <w:unhideWhenUsed/>
    <w:qFormat/>
  </w:style>
  <w:style w:type="paragraph" w:styleId="955">
    <w:name w:val="Date"/>
    <w:basedOn w:val="708"/>
    <w:uiPriority w:val="99"/>
    <w:qFormat/>
    <w:pPr>
      <w:jc w:val="both"/>
      <w:spacing w:after="60"/>
    </w:pPr>
    <w:rPr>
      <w:szCs w:val="20"/>
    </w:rPr>
  </w:style>
  <w:style w:type="paragraph" w:styleId="956" w:customStyle="1">
    <w:name w:val="Обратный адрес"/>
    <w:basedOn w:val="708"/>
    <w:qFormat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styleId="957" w:customStyle="1">
    <w:name w:val="Верхний и нижний колонтитулы"/>
    <w:basedOn w:val="708"/>
    <w:qFormat/>
  </w:style>
  <w:style w:type="paragraph" w:styleId="958" w:customStyle="1">
    <w:name w:val="Верхний колонтитул1"/>
    <w:basedOn w:val="708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959" w:customStyle="1">
    <w:name w:val="Нижний колонтитул1"/>
    <w:basedOn w:val="708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960">
    <w:name w:val="No Spacing"/>
    <w:uiPriority w:val="1"/>
    <w:qFormat/>
    <w:rPr>
      <w:rFonts w:ascii="Times New Roman" w:hAnsi="Times New Roman" w:eastAsia="Times New Roman"/>
      <w:sz w:val="24"/>
      <w:szCs w:val="24"/>
    </w:rPr>
  </w:style>
  <w:style w:type="paragraph" w:styleId="961">
    <w:name w:val="List Paragraph"/>
    <w:basedOn w:val="708"/>
    <w:uiPriority w:val="34"/>
    <w:qFormat/>
    <w:pPr>
      <w:contextualSpacing/>
      <w:ind w:left="720"/>
    </w:pPr>
  </w:style>
  <w:style w:type="paragraph" w:styleId="962">
    <w:name w:val="Body Text Indent"/>
    <w:basedOn w:val="708"/>
    <w:pPr>
      <w:ind w:left="283"/>
      <w:spacing w:after="120"/>
    </w:pPr>
    <w:rPr>
      <w:lang w:eastAsia="ar-SA"/>
    </w:rPr>
  </w:style>
  <w:style w:type="paragraph" w:styleId="963">
    <w:name w:val="Title"/>
    <w:basedOn w:val="708"/>
    <w:qFormat/>
    <w:pPr>
      <w:jc w:val="center"/>
    </w:pPr>
    <w:rPr>
      <w:b/>
      <w:bCs/>
    </w:rPr>
  </w:style>
  <w:style w:type="paragraph" w:styleId="964" w:customStyle="1">
    <w:name w:val="Основной текст 21"/>
    <w:basedOn w:val="708"/>
    <w:qFormat/>
    <w:pPr>
      <w:ind w:firstLine="851"/>
      <w:jc w:val="both"/>
    </w:pPr>
    <w:rPr>
      <w:szCs w:val="20"/>
    </w:rPr>
  </w:style>
  <w:style w:type="paragraph" w:styleId="965" w:customStyle="1">
    <w:name w:val="ConsPlusNormal"/>
    <w:uiPriority w:val="99"/>
    <w:qFormat/>
    <w:pPr>
      <w:ind w:firstLine="720"/>
      <w:widowControl w:val="off"/>
    </w:pPr>
    <w:rPr>
      <w:rFonts w:ascii="Arial" w:hAnsi="Arial" w:eastAsia="Times New Roman" w:cs="Arial"/>
    </w:rPr>
  </w:style>
  <w:style w:type="paragraph" w:styleId="966">
    <w:name w:val="Body Text 3"/>
    <w:basedOn w:val="708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967" w:customStyle="1">
    <w:name w:val="Стиль1"/>
    <w:basedOn w:val="708"/>
    <w:qFormat/>
    <w:pPr>
      <w:numPr>
        <w:ilvl w:val="0"/>
        <w:numId w:val="1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968" w:customStyle="1">
    <w:name w:val="Стиль3"/>
    <w:qFormat/>
    <w:pPr>
      <w:ind w:left="432" w:hanging="432"/>
      <w:jc w:val="both"/>
      <w:widowControl w:val="off"/>
      <w:tabs>
        <w:tab w:val="num" w:pos="432" w:leader="none"/>
      </w:tabs>
    </w:pPr>
  </w:style>
  <w:style w:type="paragraph" w:styleId="969">
    <w:name w:val="Body Text Indent 2"/>
    <w:basedOn w:val="708"/>
    <w:uiPriority w:val="99"/>
    <w:semiHidden/>
    <w:unhideWhenUsed/>
    <w:qFormat/>
    <w:pPr>
      <w:ind w:left="283"/>
      <w:spacing w:after="120" w:line="480" w:lineRule="auto"/>
    </w:pPr>
  </w:style>
  <w:style w:type="paragraph" w:styleId="970" w:customStyle="1">
    <w:name w:val="Текст1"/>
    <w:basedOn w:val="708"/>
    <w:qFormat/>
    <w:rPr>
      <w:rFonts w:ascii="Courier New" w:hAnsi="Courier New" w:eastAsia="Calibri"/>
      <w:sz w:val="20"/>
      <w:szCs w:val="20"/>
    </w:rPr>
  </w:style>
  <w:style w:type="paragraph" w:styleId="971">
    <w:name w:val="Balloon Text"/>
    <w:basedOn w:val="708"/>
    <w:uiPriority w:val="99"/>
    <w:semiHidden/>
    <w:unhideWhenUsed/>
    <w:qFormat/>
    <w:rPr>
      <w:rFonts w:ascii="Tahoma" w:hAnsi="Tahoma" w:eastAsia="Calibri"/>
      <w:sz w:val="16"/>
      <w:szCs w:val="16"/>
    </w:rPr>
  </w:style>
  <w:style w:type="paragraph" w:styleId="972" w:customStyle="1">
    <w:name w:val="обычный"/>
    <w:basedOn w:val="708"/>
    <w:qFormat/>
    <w:rPr>
      <w:color w:val="000000"/>
      <w:sz w:val="20"/>
      <w:szCs w:val="20"/>
    </w:rPr>
  </w:style>
  <w:style w:type="paragraph" w:styleId="973" w:customStyle="1">
    <w:name w:val="Основной текст (2)"/>
    <w:basedOn w:val="708"/>
    <w:link w:val="886"/>
    <w:qFormat/>
    <w:pPr>
      <w:ind w:hanging="340"/>
      <w:jc w:val="center"/>
      <w:spacing w:after="240" w:line="254" w:lineRule="exact"/>
      <w:shd w:val="clear" w:color="auto" w:fill="ffffff"/>
      <w:widowControl w:val="off"/>
    </w:pPr>
    <w:rPr>
      <w:rFonts w:ascii="Calibri" w:hAnsi="Calibri" w:eastAsia="Calibri"/>
      <w:sz w:val="20"/>
      <w:szCs w:val="20"/>
      <w:shd w:val="clear" w:color="auto" w:fill="ffffff"/>
    </w:rPr>
  </w:style>
  <w:style w:type="paragraph" w:styleId="974" w:customStyle="1">
    <w:name w:val="Style9"/>
    <w:basedOn w:val="708"/>
    <w:qFormat/>
    <w:pPr>
      <w:spacing w:line="226" w:lineRule="exact"/>
      <w:widowControl w:val="off"/>
    </w:pPr>
  </w:style>
  <w:style w:type="paragraph" w:styleId="975" w:customStyle="1">
    <w:name w:val="Style2"/>
    <w:basedOn w:val="708"/>
    <w:qFormat/>
    <w:pPr>
      <w:jc w:val="center"/>
      <w:spacing w:line="259" w:lineRule="exact"/>
      <w:widowControl w:val="off"/>
    </w:pPr>
  </w:style>
  <w:style w:type="paragraph" w:styleId="976" w:customStyle="1">
    <w:name w:val="Основной текст с отступом 32"/>
    <w:basedOn w:val="708"/>
    <w:uiPriority w:val="99"/>
    <w:qFormat/>
    <w:pPr>
      <w:ind w:firstLine="567"/>
      <w:jc w:val="both"/>
    </w:pPr>
    <w:rPr>
      <w:rFonts w:eastAsia="Calibri"/>
      <w:szCs w:val="20"/>
      <w:lang w:eastAsia="ar-SA"/>
    </w:rPr>
  </w:style>
  <w:style w:type="paragraph" w:styleId="977">
    <w:name w:val="Normal (Web)"/>
    <w:basedOn w:val="708"/>
    <w:uiPriority w:val="99"/>
    <w:unhideWhenUsed/>
    <w:qFormat/>
    <w:pPr>
      <w:spacing w:beforeAutospacing="1" w:afterAutospacing="1"/>
    </w:pPr>
  </w:style>
  <w:style w:type="paragraph" w:styleId="978" w:customStyle="1">
    <w:name w:val="Основной текст с отступом 21"/>
    <w:basedOn w:val="708"/>
    <w:qFormat/>
    <w:pPr>
      <w:ind w:firstLine="709"/>
      <w:jc w:val="both"/>
      <w:spacing w:before="120" w:line="360" w:lineRule="auto"/>
    </w:pPr>
    <w:rPr>
      <w:rFonts w:ascii="Arial" w:hAnsi="Arial" w:cs="Arial"/>
      <w:szCs w:val="20"/>
      <w:lang w:eastAsia="ar-SA"/>
    </w:rPr>
  </w:style>
  <w:style w:type="paragraph" w:styleId="979" w:customStyle="1">
    <w:name w:val="Style1"/>
    <w:basedOn w:val="708"/>
    <w:qFormat/>
    <w:pPr>
      <w:widowControl w:val="off"/>
    </w:pPr>
  </w:style>
  <w:style w:type="paragraph" w:styleId="980" w:customStyle="1">
    <w:name w:val="Обычный2"/>
    <w:link w:val="877"/>
    <w:uiPriority w:val="99"/>
    <w:qFormat/>
    <w:pPr>
      <w:ind w:firstLine="720"/>
      <w:jc w:val="both"/>
      <w:spacing w:line="300" w:lineRule="auto"/>
      <w:widowControl w:val="off"/>
    </w:pPr>
    <w:rPr>
      <w:rFonts w:ascii="Times New Roman" w:hAnsi="Times New Roman" w:eastAsia="Times New Roman"/>
      <w:color w:val="00000a"/>
      <w:sz w:val="24"/>
      <w:szCs w:val="22"/>
    </w:rPr>
  </w:style>
  <w:style w:type="paragraph" w:styleId="981" w:customStyle="1">
    <w:name w:val="ConsPlusNonformat"/>
    <w:qFormat/>
    <w:pPr>
      <w:widowControl w:val="off"/>
    </w:pPr>
    <w:rPr>
      <w:rFonts w:ascii="Courier New" w:hAnsi="Courier New" w:eastAsia="Times New Roman" w:cs="Courier New"/>
    </w:rPr>
  </w:style>
  <w:style w:type="paragraph" w:styleId="982" w:customStyle="1">
    <w:name w:val="Содержимое таблицы"/>
    <w:basedOn w:val="708"/>
    <w:qFormat/>
    <w:pPr>
      <w:widowControl w:val="off"/>
      <w:suppressLineNumbers/>
    </w:pPr>
    <w:rPr>
      <w:rFonts w:ascii="Arial" w:hAnsi="Arial" w:cs="Arial"/>
      <w:sz w:val="20"/>
      <w:szCs w:val="20"/>
      <w:lang w:eastAsia="ar-SA"/>
    </w:rPr>
  </w:style>
  <w:style w:type="paragraph" w:styleId="983" w:customStyle="1">
    <w:name w:val="Абзац списка1"/>
    <w:basedOn w:val="708"/>
    <w:link w:val="881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984" w:customStyle="1">
    <w:name w:val="Заголовок таблицы"/>
    <w:basedOn w:val="982"/>
    <w:qFormat/>
    <w:pPr>
      <w:jc w:val="center"/>
    </w:pPr>
    <w:rPr>
      <w:b/>
      <w:bCs/>
    </w:rPr>
  </w:style>
  <w:style w:type="character" w:styleId="985" w:customStyle="1">
    <w:name w:val="serp-url__item"/>
  </w:style>
  <w:style w:type="character" w:styleId="986" w:customStyle="1">
    <w:name w:val="highlightcolor"/>
  </w:style>
  <w:style w:type="paragraph" w:styleId="987" w:customStyle="1">
    <w:name w:val="Ариал"/>
    <w:link w:val="867"/>
    <w:pPr>
      <w:ind w:firstLine="851"/>
      <w:jc w:val="both"/>
      <w:spacing w:before="120" w:after="120" w:line="36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/>
      <w:sz w:val="24"/>
      <w:szCs w:val="24"/>
    </w:rPr>
  </w:style>
  <w:style w:type="character" w:styleId="988" w:customStyle="1">
    <w:name w:val="Заголовок 1 Знак1"/>
    <w:basedOn w:val="718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89">
    <w:name w:val="Header"/>
    <w:basedOn w:val="708"/>
    <w:link w:val="9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0" w:customStyle="1">
    <w:name w:val="Верхний колонтитул Знак1"/>
    <w:basedOn w:val="718"/>
    <w:link w:val="989"/>
    <w:uiPriority w:val="99"/>
    <w:rPr>
      <w:rFonts w:ascii="Times New Roman" w:hAnsi="Times New Roman" w:eastAsia="Times New Roman"/>
      <w:sz w:val="24"/>
      <w:szCs w:val="24"/>
    </w:rPr>
  </w:style>
  <w:style w:type="paragraph" w:styleId="991">
    <w:name w:val="Footer"/>
    <w:basedOn w:val="708"/>
    <w:link w:val="9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2" w:customStyle="1">
    <w:name w:val="Нижний колонтитул Знак1"/>
    <w:basedOn w:val="718"/>
    <w:link w:val="991"/>
    <w:uiPriority w:val="99"/>
    <w:rPr>
      <w:rFonts w:ascii="Times New Roman" w:hAnsi="Times New Roman" w:eastAsia="Times New Roman"/>
      <w:sz w:val="24"/>
      <w:szCs w:val="24"/>
    </w:rPr>
  </w:style>
  <w:style w:type="paragraph" w:styleId="993" w:customStyle="1">
    <w:name w:val="Preformatted"/>
    <w:link w:val="934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/>
    </w:rPr>
  </w:style>
  <w:style w:type="paragraph" w:styleId="994" w:customStyle="1">
    <w:name w:val="Defaul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color w:val="000000"/>
      <w:sz w:val="24"/>
      <w:szCs w:val="24"/>
    </w:rPr>
  </w:style>
  <w:style w:type="paragraph" w:styleId="995" w:customStyle="1">
    <w:name w:val="Основной текст (2)1"/>
    <w:qFormat/>
    <w:pPr>
      <w:jc w:val="both"/>
      <w:spacing w:before="340" w:after="340" w:line="26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cao@lbt.yanao.ru" TargetMode="External"/><Relationship Id="rId12" Type="http://schemas.openxmlformats.org/officeDocument/2006/relationships/hyperlink" Target="http://www.zakupki.gov.ru/223" TargetMode="External"/><Relationship Id="rId13" Type="http://schemas.openxmlformats.org/officeDocument/2006/relationships/hyperlink" Target="http://www.zakupki.gov.ru/223" TargetMode="External"/><Relationship Id="rId14" Type="http://schemas.openxmlformats.org/officeDocument/2006/relationships/hyperlink" Target="consultantplus://offline/ref=6AE81C291AEDBF2645E923D219A663E49CB1CA3F7D6A857ED8EABAC9D95EB60B0F296E2D9871F565V5hBD" TargetMode="External"/><Relationship Id="rId15" Type="http://schemas.openxmlformats.org/officeDocument/2006/relationships/hyperlink" Target="consultantplus://offline/ref=315E154BBA96EE16D7EE9919A2BA11995A8C898C022285CDA9FD01419C304CA2AEFAC2C379D517E9283E38BFA1eEr9F" TargetMode="External"/><Relationship Id="rId16" Type="http://schemas.openxmlformats.org/officeDocument/2006/relationships/hyperlink" Target="https://223.rts-tender.ru/" TargetMode="External"/><Relationship Id="rId17" Type="http://schemas.openxmlformats.org/officeDocument/2006/relationships/hyperlink" Target="https://223.rts-tende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91FBA-B73F-40B8-ABA5-93212094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S2011u</dc:creator>
  <dc:description/>
  <dc:language>ru-RU</dc:language>
  <cp:lastModifiedBy>pc-080-64u</cp:lastModifiedBy>
  <cp:revision>16</cp:revision>
  <dcterms:created xsi:type="dcterms:W3CDTF">2025-11-01T08:03:00Z</dcterms:created>
  <dcterms:modified xsi:type="dcterms:W3CDTF">2026-09-01T06:58:20Z</dcterms:modified>
</cp:coreProperties>
</file>