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9"/>
        <w:jc w:val="righ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9"/>
        <w:jc w:val="righ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к документации </w:t>
      </w:r>
      <w:r>
        <w:rPr>
          <w:rFonts w:ascii="Times New Roman" w:hAnsi="Times New Roman" w:cs="Times New Roman"/>
        </w:rPr>
      </w:r>
    </w:p>
    <w:p>
      <w:pPr>
        <w:pStyle w:val="629"/>
        <w:jc w:val="righ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электронном аукционе</w:t>
      </w:r>
      <w:r>
        <w:rPr>
          <w:rFonts w:ascii="Times New Roman" w:hAnsi="Times New Roman" w:cs="Times New Roman"/>
        </w:rPr>
      </w:r>
    </w:p>
    <w:p>
      <w:pPr>
        <w:pStyle w:val="62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</w:t>
      </w:r>
      <w:r>
        <w:rPr>
          <w:rFonts w:ascii="Times New Roman" w:hAnsi="Times New Roman" w:cs="Times New Roman"/>
          <w:b/>
        </w:rPr>
      </w:r>
    </w:p>
    <w:p>
      <w:pPr>
        <w:pStyle w:val="62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на поставку дизельного топлива</w:t>
      </w:r>
      <w:r>
        <w:rPr>
          <w:rFonts w:ascii="Times New Roman" w:hAnsi="Times New Roman" w:cs="Times New Roman"/>
          <w:b/>
          <w:bCs/>
        </w:rPr>
      </w:r>
    </w:p>
    <w:p>
      <w:pPr>
        <w:pStyle w:val="62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(в качестве резервного топлива для котельных МУП «ЭТС»)</w:t>
      </w:r>
      <w:r>
        <w:rPr>
          <w:rFonts w:ascii="Times New Roman" w:hAnsi="Times New Roman" w:cs="Times New Roman"/>
          <w:b/>
          <w:bCs/>
        </w:rPr>
      </w:r>
    </w:p>
    <w:p>
      <w:pPr>
        <w:pStyle w:val="62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629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 </w:t>
      </w:r>
      <w:r>
        <w:rPr>
          <w:rFonts w:ascii="Times New Roman" w:hAnsi="Times New Roman" w:cs="Times New Roman"/>
          <w:b/>
          <w:bCs/>
        </w:rPr>
      </w:r>
    </w:p>
    <w:p>
      <w:pPr>
        <w:pStyle w:val="629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государстве​⁠‍</w:t>
      </w:r>
      <w:r>
        <w:rPr>
          <w:rFonts w:ascii="Tahoma" w:hAnsi="Tahoma" w:cs="Tahoma"/>
          <w:i/>
          <w:iCs/>
        </w:rPr>
        <w:t xml:space="preserve">﻿﻿</w:t>
      </w:r>
      <w:r>
        <w:rPr>
          <w:rFonts w:ascii="Times New Roman" w:hAnsi="Times New Roman" w:cs="Times New Roman"/>
          <w:i/>
          <w:iCs/>
        </w:rPr>
        <w:t xml:space="preserve">‌​​‍​​⁠⁠‌‍</w:t>
      </w:r>
      <w:r>
        <w:rPr>
          <w:rFonts w:ascii="Tahoma" w:hAnsi="Tahoma" w:cs="Tahoma"/>
          <w:i/>
          <w:iCs/>
        </w:rPr>
        <w:t xml:space="preserve">﻿</w:t>
      </w:r>
      <w:r>
        <w:rPr>
          <w:rFonts w:ascii="Times New Roman" w:hAnsi="Times New Roman" w:cs="Times New Roman"/>
          <w:i/>
          <w:iCs/>
        </w:rPr>
        <w:t xml:space="preserve">‌​​⁠​​​​‍​‌​‌</w:t>
      </w:r>
      <w:r>
        <w:rPr>
          <w:rFonts w:ascii="Tahoma" w:hAnsi="Tahoma" w:cs="Tahoma"/>
          <w:i/>
          <w:iCs/>
        </w:rPr>
        <w:t xml:space="preserve">﻿</w:t>
      </w:r>
      <w:r>
        <w:rPr>
          <w:rFonts w:ascii="Times New Roman" w:hAnsi="Times New Roman" w:cs="Times New Roman"/>
          <w:i/>
          <w:iCs/>
        </w:rPr>
        <w:t xml:space="preserve">‌</w:t>
      </w:r>
      <w:r>
        <w:rPr>
          <w:rFonts w:ascii="Tahoma" w:hAnsi="Tahoma" w:cs="Tahoma"/>
          <w:i/>
          <w:iCs/>
        </w:rPr>
        <w:t xml:space="preserve">﻿</w:t>
      </w:r>
      <w:r>
        <w:rPr>
          <w:rFonts w:ascii="Times New Roman" w:hAnsi="Times New Roman" w:cs="Times New Roman"/>
          <w:i/>
          <w:iCs/>
        </w:rPr>
        <w:t xml:space="preserve">​‌‌‍⁠‌</w:t>
      </w:r>
      <w:r>
        <w:rPr>
          <w:rFonts w:ascii="Tahoma" w:hAnsi="Tahoma" w:cs="Tahoma"/>
          <w:i/>
          <w:iCs/>
        </w:rPr>
        <w:t xml:space="preserve">﻿</w:t>
      </w:r>
      <w:r>
        <w:rPr>
          <w:rFonts w:ascii="Times New Roman" w:hAnsi="Times New Roman" w:cs="Times New Roman"/>
          <w:i/>
          <w:iCs/>
        </w:rPr>
        <w:t xml:space="preserve">‌​</w:t>
      </w:r>
      <w:r>
        <w:rPr>
          <w:rFonts w:ascii="Tahoma" w:hAnsi="Tahoma" w:cs="Tahoma"/>
          <w:i/>
          <w:iCs/>
        </w:rPr>
        <w:t xml:space="preserve">﻿</w:t>
      </w:r>
      <w:r>
        <w:rPr>
          <w:rFonts w:ascii="Times New Roman" w:hAnsi="Times New Roman" w:cs="Times New Roman"/>
          <w:i/>
          <w:iCs/>
        </w:rPr>
        <w:t xml:space="preserve">‍‍</w:t>
      </w:r>
      <w:r>
        <w:rPr>
          <w:rFonts w:ascii="Times New Roman" w:hAnsi="Times New Roman" w:cs="Times New Roman"/>
          <w:i/>
          <w:iCs/>
        </w:rPr>
        <w:t xml:space="preserve">нных</w:t>
      </w:r>
      <w:r>
        <w:rPr>
          <w:rFonts w:ascii="Times New Roman" w:hAnsi="Times New Roman" w:cs="Times New Roman"/>
          <w:i/>
          <w:iCs/>
        </w:rPr>
        <w:t xml:space="preserve"> и муниципальных нужд, закупок товаров, работ, услуг отдельными видами юридических лиц"</w:t>
      </w:r>
      <w:r>
        <w:rPr>
          <w:rFonts w:ascii="Times New Roman" w:hAnsi="Times New Roman" w:cs="Times New Roman"/>
          <w:i/>
          <w:iCs/>
        </w:rPr>
      </w:r>
    </w:p>
    <w:tbl>
      <w:tblPr>
        <w:tblW w:w="992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7"/>
        <w:gridCol w:w="1476"/>
        <w:gridCol w:w="2901"/>
        <w:gridCol w:w="1131"/>
        <w:gridCol w:w="1840"/>
        <w:gridCol w:w="2008"/>
      </w:tblGrid>
      <w:tr>
        <w:tblPrEx/>
        <w:trPr>
          <w:trHeight w:val="345"/>
        </w:trPr>
        <w:tc>
          <w:tcPr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476" w:type="dxa"/>
            <w:vAlign w:val="center"/>
            <w:vMerge w:val="restart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Код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901" w:type="dxa"/>
            <w:vAlign w:val="center"/>
            <w:vMerge w:val="restart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gridSpan w:val="3"/>
            <w:shd w:val="clear" w:color="auto" w:fill="auto"/>
            <w:tcW w:w="4979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Национальный режим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345"/>
        </w:trPr>
        <w:tc>
          <w:tcPr>
            <w:tcW w:w="567" w:type="dxa"/>
            <w:vMerge w:val="continue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476" w:type="dxa"/>
            <w:vMerge w:val="continue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901" w:type="dxa"/>
            <w:vMerge w:val="continue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131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1875 (Запрет)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1840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1875 (Ограничение)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shd w:val="clear" w:color="auto" w:fill="auto"/>
            <w:tcW w:w="2008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1875 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pStyle w:val="62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(Преимущество)</w:t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114"/>
        </w:trPr>
        <w:tc>
          <w:tcPr>
            <w:tcW w:w="567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</w:t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W w:w="1476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19.20.21.345</w:t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W w:w="2901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Дизельное топливо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W w:w="1131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W w:w="1840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</w:r>
            <w:r>
              <w:rPr>
                <w:rFonts w:ascii="Times New Roman" w:hAnsi="Times New Roman" w:cs="Times New Roman"/>
                <w:bCs/>
              </w:rPr>
            </w:r>
          </w:p>
        </w:tc>
        <w:tc>
          <w:tcPr>
            <w:shd w:val="clear" w:color="auto" w:fill="auto"/>
            <w:tcW w:w="2008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Cs/>
              </w:rPr>
            </w:pPr>
            <w:r>
              <w:rPr>
                <w:rFonts w:ascii="Segoe UI Symbol" w:hAnsi="Segoe UI Symbol" w:cs="Segoe UI Symbol"/>
                <w:bCs/>
              </w:rPr>
              <w:t xml:space="preserve">✓</w:t>
            </w:r>
            <w:r>
              <w:rPr>
                <w:rFonts w:ascii="Times New Roman" w:hAnsi="Times New Roman" w:cs="Times New Roman"/>
                <w:bCs/>
              </w:rPr>
            </w:r>
          </w:p>
        </w:tc>
      </w:tr>
    </w:tbl>
    <w:p>
      <w:pPr>
        <w:pStyle w:val="6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62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Объект закупки и характеристики товара:</w:t>
      </w:r>
      <w:r>
        <w:rPr>
          <w:rFonts w:ascii="Times New Roman" w:hAnsi="Times New Roman" w:cs="Times New Roman"/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0"/>
        <w:gridCol w:w="1896"/>
        <w:gridCol w:w="1127"/>
        <w:gridCol w:w="6310"/>
      </w:tblGrid>
      <w:tr>
        <w:tblPrEx/>
        <w:trPr>
          <w:trHeight w:val="5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1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8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 (литры)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4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Технические характеристики (показатели)</w:t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12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0" w:type="dxa"/>
            <w:textDirection w:val="lrTb"/>
            <w:noWrap w:val="false"/>
          </w:tcPr>
          <w:p>
            <w:pPr>
              <w:pStyle w:val="62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31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Дизельное топливо по сезону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88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100 000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94" w:type="dxa"/>
            <w:textDirection w:val="lrTb"/>
            <w:noWrap w:val="false"/>
          </w:tcPr>
          <w:p>
            <w:pPr>
              <w:pStyle w:val="6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качества поставляемого Товара ГОСТ 32511-2013 Топливо дизельное ЕВРО. Технические условия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Топливо дизельное - ДТ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9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Экологического класса не ниже К5. </w:t>
            </w:r>
            <w:r>
              <w:rPr>
                <w:rFonts w:ascii="Times New Roman" w:hAnsi="Times New Roman" w:cs="Times New Roman"/>
                <w:color w:val="ff0000"/>
              </w:rPr>
            </w:r>
          </w:p>
          <w:p>
            <w:pPr>
              <w:pStyle w:val="6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Сезонность топлива: в зависимости от сезона года, когда приобретается топливо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Массовая доля серы: не более 10,0 мг/кг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highlight w:val="yellow"/>
        </w:rPr>
        <w:t xml:space="preserve">*</w:t>
      </w:r>
      <w:r>
        <w:rPr>
          <w:rFonts w:ascii="Times New Roman" w:hAnsi="Times New Roman" w:cs="Times New Roman"/>
          <w:color w:val="ff0000"/>
          <w:highlight w:val="yellow"/>
          <w:u w:val="single"/>
        </w:rPr>
        <w:t xml:space="preserve">возможно изменение экологического класса топлив</w:t>
      </w:r>
      <w:r>
        <w:rPr>
          <w:rFonts w:ascii="Times New Roman" w:hAnsi="Times New Roman" w:cs="Times New Roman"/>
          <w:color w:val="ff0000"/>
          <w:highlight w:val="yellow"/>
          <w:u w:val="single"/>
        </w:rPr>
        <w:t xml:space="preserve">а</w:t>
      </w:r>
      <w:r>
        <w:rPr>
          <w:rFonts w:ascii="Times New Roman" w:hAnsi="Times New Roman" w:cs="Times New Roman"/>
          <w:color w:val="ff0000"/>
          <w:highlight w:val="yellow"/>
        </w:rPr>
        <w:t xml:space="preserve"> (по Постановлению Правительства Российской Федерации от 05.08.2026 № 976 «О реализации мер, предусмотренных Указом Президента Российской Федерации от 24 июля 2026 г. № 509 «О некоторых мерах по повышению надежности </w:t>
      </w:r>
      <w:r>
        <w:rPr>
          <w:rFonts w:ascii="Times New Roman" w:hAnsi="Times New Roman" w:cs="Times New Roman"/>
          <w:color w:val="ff0000"/>
          <w:highlight w:val="yellow"/>
        </w:rPr>
        <w:t xml:space="preserve">топливообеспечения</w:t>
      </w:r>
      <w:r>
        <w:rPr>
          <w:rFonts w:ascii="Times New Roman" w:hAnsi="Times New Roman" w:cs="Times New Roman"/>
          <w:color w:val="ff0000"/>
          <w:highlight w:val="yellow"/>
        </w:rPr>
        <w:t xml:space="preserve"> в Российской Федерации»). Допустимым считается реализация нефтепродуктов экологических классов К2, К3, К4, К5</w:t>
      </w:r>
      <w:r>
        <w:rPr>
          <w:rFonts w:ascii="Times New Roman" w:hAnsi="Times New Roman" w:cs="Times New Roman"/>
          <w:color w:val="ff0000"/>
          <w:highlight w:val="yellow"/>
        </w:rPr>
        <w:t xml:space="preserve"> по согласованию с Заказчиком</w:t>
      </w:r>
      <w:r>
        <w:rPr>
          <w:rFonts w:ascii="Times New Roman" w:hAnsi="Times New Roman" w:cs="Times New Roman"/>
          <w:color w:val="ff0000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2</w:t>
      </w:r>
      <w:r>
        <w:rPr>
          <w:rFonts w:ascii="Times New Roman" w:hAnsi="Times New Roman" w:cs="Times New Roman"/>
          <w:b/>
          <w:bCs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Основная цель закупки</w:t>
      </w:r>
      <w:r>
        <w:rPr>
          <w:rFonts w:ascii="Times New Roman" w:hAnsi="Times New Roman" w:cs="Times New Roman"/>
        </w:rPr>
        <w:t xml:space="preserve">: обеспечение бесперебойной работы систем жизнеобеспечения МУП «ЭТС» в нештатных ситуациях, когда основное топливо недоступно или его подача прерывается.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не обязан обеспечивать выборку объема товаров</w:t>
      </w:r>
      <w:r>
        <w:rPr>
          <w:rFonts w:ascii="Times New Roman" w:hAnsi="Times New Roman" w:cs="Times New Roman"/>
        </w:rPr>
        <w:t xml:space="preserve"> на общую максимальную стоимость товаров по Договору, в этом случае обязательства Поставщика по передаче товара не возникают. Соответственно, </w:t>
      </w:r>
      <w:r>
        <w:rPr>
          <w:rFonts w:ascii="Times New Roman" w:hAnsi="Times New Roman" w:cs="Times New Roman"/>
        </w:rPr>
        <w:t xml:space="preserve">Заказчик </w:t>
      </w:r>
      <w:r>
        <w:rPr>
          <w:rFonts w:ascii="Times New Roman" w:hAnsi="Times New Roman" w:cs="Times New Roman"/>
        </w:rPr>
        <w:t xml:space="preserve">не несёт никакой ответственности за выборку объема товаров на сумму меньше, чем общая максимальная стоимость товаров по Договору. 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 случае если в период действия настоящего Договора потребность в выборке топлива не возникнет, </w:t>
      </w:r>
      <w:r>
        <w:rPr>
          <w:rFonts w:ascii="Times New Roman" w:hAnsi="Times New Roman" w:cs="Times New Roman"/>
          <w:b/>
        </w:rPr>
        <w:t xml:space="preserve">Заказчик</w:t>
      </w:r>
      <w:r>
        <w:rPr>
          <w:rFonts w:ascii="Times New Roman" w:hAnsi="Times New Roman" w:cs="Times New Roman"/>
          <w:b/>
        </w:rPr>
        <w:t xml:space="preserve"> не несёт ответственности за </w:t>
      </w:r>
      <w:r>
        <w:rPr>
          <w:rFonts w:ascii="Times New Roman" w:hAnsi="Times New Roman" w:cs="Times New Roman"/>
          <w:b/>
        </w:rPr>
        <w:t xml:space="preserve">невыборку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</w:t>
      </w:r>
      <w:r>
        <w:rPr>
          <w:rFonts w:ascii="Times New Roman" w:hAnsi="Times New Roman" w:cs="Times New Roman"/>
          <w:b/>
          <w:bCs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Место поставки товара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Центральная </w:t>
      </w:r>
      <w:r>
        <w:rPr>
          <w:rFonts w:ascii="Times New Roman" w:hAnsi="Times New Roman" w:cs="Times New Roman"/>
        </w:rPr>
        <w:t xml:space="preserve">отдельностоящая</w:t>
      </w:r>
      <w:r>
        <w:rPr>
          <w:rFonts w:ascii="Times New Roman" w:hAnsi="Times New Roman" w:cs="Times New Roman"/>
        </w:rPr>
        <w:t xml:space="preserve"> отопительная котельная п. Энергетик, находящаяся по адресу: Челябинская область, г. Троицк, ул. Юго-восточный тракт, д. 54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Котельная № 1, находящаяся по адресу: Челябинская область, г. Троицк, ул. </w:t>
      </w:r>
      <w:r>
        <w:rPr>
          <w:rFonts w:ascii="Times New Roman" w:hAnsi="Times New Roman" w:cs="Times New Roman"/>
        </w:rPr>
        <w:t xml:space="preserve">Качинского</w:t>
      </w:r>
      <w:r>
        <w:rPr>
          <w:rFonts w:ascii="Times New Roman" w:hAnsi="Times New Roman" w:cs="Times New Roman"/>
        </w:rPr>
        <w:t xml:space="preserve">, д. 2А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Котельная № 3, находящаяся по адресу: Челябинская область, г. Троицк, ул. Челябинская, д. 2А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Котельная № 6, находящаяся по адресу: Челябинская область, г. Троицк, п. Мясокомбинат 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Котельная № 9, находящаяся по адресу: Челябинская область, г. Троицк, ул. Сони Кривой, д. 34Б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Поставщик обеспечивает доставку, слив с использованием собственных насосов и сертифицированных счетчиков в резервуар Заказчика. Оборудование Поставщика должно быть исправным, сливные рукава необходимой длины. Откалиброванная цистерна </w:t>
      </w:r>
      <w:r>
        <w:rPr>
          <w:rFonts w:ascii="Times New Roman" w:hAnsi="Times New Roman" w:cs="Times New Roman"/>
        </w:rPr>
        <w:t xml:space="preserve">с действующим свидетельством о поверке. Средства пожаротушения и заземления. Пломбировка: Горловины и сливные краны должны быть опломбированы номерными пломбами, указанными в ТТН. Слив осуществляется силами Поставщика под контролем представителя Заказчика.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</w:t>
      </w:r>
      <w:r>
        <w:rPr>
          <w:rFonts w:ascii="Times New Roman" w:hAnsi="Times New Roman" w:cs="Times New Roman"/>
          <w:b/>
          <w:bCs/>
        </w:rPr>
        <w:t xml:space="preserve"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Сроки поставки товара</w:t>
      </w:r>
      <w:r>
        <w:rPr>
          <w:rFonts w:ascii="Times New Roman" w:hAnsi="Times New Roman" w:cs="Times New Roman"/>
        </w:rPr>
        <w:t xml:space="preserve">: с момента </w:t>
      </w:r>
      <w:r>
        <w:rPr>
          <w:rFonts w:ascii="Times New Roman" w:hAnsi="Times New Roman" w:cs="Times New Roman"/>
        </w:rPr>
        <w:t xml:space="preserve">заключения договора </w:t>
      </w:r>
      <w:r>
        <w:rPr>
          <w:rFonts w:ascii="Times New Roman" w:hAnsi="Times New Roman" w:cs="Times New Roman"/>
          <w:color w:val="ff0000"/>
        </w:rPr>
        <w:t xml:space="preserve">по 3</w:t>
      </w:r>
      <w:r>
        <w:rPr>
          <w:rFonts w:ascii="Times New Roman" w:hAnsi="Times New Roman" w:cs="Times New Roman"/>
          <w:color w:val="ff0000"/>
        </w:rPr>
        <w:t xml:space="preserve">0</w:t>
      </w:r>
      <w:r>
        <w:rPr>
          <w:rFonts w:ascii="Times New Roman" w:hAnsi="Times New Roman" w:cs="Times New Roman"/>
          <w:color w:val="ff0000"/>
        </w:rPr>
        <w:t xml:space="preserve">.</w:t>
      </w:r>
      <w:r>
        <w:rPr>
          <w:rFonts w:ascii="Times New Roman" w:hAnsi="Times New Roman" w:cs="Times New Roman"/>
          <w:color w:val="ff0000"/>
        </w:rPr>
        <w:t xml:space="preserve">04</w:t>
      </w:r>
      <w:r>
        <w:rPr>
          <w:rFonts w:ascii="Times New Roman" w:hAnsi="Times New Roman" w:cs="Times New Roman"/>
          <w:color w:val="ff0000"/>
        </w:rPr>
        <w:t xml:space="preserve">.2027г.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течении 1 (одних) суток по Заявке </w:t>
      </w:r>
      <w:r>
        <w:rPr>
          <w:rFonts w:ascii="Times New Roman" w:hAnsi="Times New Roman" w:cs="Times New Roman"/>
        </w:rPr>
        <w:t xml:space="preserve">Заказчика</w:t>
      </w:r>
      <w:r>
        <w:rPr>
          <w:rFonts w:ascii="Times New Roman" w:hAnsi="Times New Roman" w:cs="Times New Roman"/>
        </w:rPr>
        <w:t xml:space="preserve"> одной партией или несколькими партиями в пределах количества и ассортимента, </w:t>
      </w:r>
      <w:r>
        <w:rPr>
          <w:rFonts w:ascii="Times New Roman" w:hAnsi="Times New Roman" w:cs="Times New Roman"/>
        </w:rPr>
        <w:t xml:space="preserve">указанных в </w:t>
      </w:r>
      <w:r>
        <w:rPr>
          <w:rFonts w:ascii="Times New Roman" w:hAnsi="Times New Roman" w:cs="Times New Roman"/>
        </w:rPr>
        <w:t xml:space="preserve">Заявке, поданной Заказчиком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</w:t>
      </w:r>
      <w:r>
        <w:rPr>
          <w:rFonts w:ascii="Times New Roman" w:hAnsi="Times New Roman" w:cs="Times New Roman"/>
          <w:b/>
          <w:bCs/>
        </w:rPr>
        <w:t xml:space="preserve">. Требования</w:t>
      </w:r>
      <w:r>
        <w:rPr>
          <w:rFonts w:ascii="Times New Roman" w:hAnsi="Times New Roman" w:cs="Times New Roman"/>
          <w:b/>
        </w:rPr>
        <w:t xml:space="preserve"> к техническим, качественным характеристикам товара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физико-химическим и эксплуатационным показателям дизельное топливо должны соответствовать следующим нормам и требованиям: поставляемое горючее должн</w:t>
      </w:r>
      <w:r>
        <w:rPr>
          <w:rFonts w:ascii="Times New Roman" w:hAnsi="Times New Roman" w:cs="Times New Roman"/>
        </w:rPr>
        <w:t xml:space="preserve">о соответствовать положениям таможенного союза «О требованиях к автомобильному и авиационному бензину, дизельному и судовому топливу для реактивных двигателей и мазуту», утвержденному Решением Комиссии таможенного Союза от 18.11.2011 № 826 (ТР ТС 013/2011)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</w:t>
      </w:r>
      <w:r>
        <w:rPr>
          <w:rFonts w:ascii="Times New Roman" w:hAnsi="Times New Roman" w:cs="Times New Roman"/>
          <w:b/>
          <w:bCs/>
        </w:rPr>
        <w:t xml:space="preserve">. Требования</w:t>
      </w:r>
      <w:r>
        <w:rPr>
          <w:rFonts w:ascii="Times New Roman" w:hAnsi="Times New Roman" w:cs="Times New Roman"/>
          <w:b/>
        </w:rPr>
        <w:t xml:space="preserve"> к безопасности поставляемого Товара</w:t>
      </w:r>
      <w:r>
        <w:rPr>
          <w:rFonts w:ascii="Times New Roman" w:hAnsi="Times New Roman" w:cs="Times New Roman"/>
        </w:rPr>
        <w:t xml:space="preserve">: ГСМ не должны содержать металлосодержащие присадки, ГСМ может содержать красители (кроме зеленого и голубого цвета) и вещества-метки, а также может содержать моющие присадки, не ухудшающие его показатели и свойства.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Поставщик в паспорте на Товар, поступающий на реализацию, должен указывать сведения о наличии (наименование, свойства и содержание) присадок или об их отсутствии в этих топливах. 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Продукция может содержать присадки, не причиняющие вреда жизни и здоровью граждан, окружающей среде, имуществу физических и юридических лиц, жизни и здоровью животных и растений.</w:t>
      </w:r>
      <w:r>
        <w:rPr>
          <w:rFonts w:ascii="Times New Roman" w:hAnsi="Times New Roman" w:cs="Times New Roman"/>
        </w:rPr>
      </w:r>
    </w:p>
    <w:p>
      <w:pPr>
        <w:pStyle w:val="6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567" w:right="849" w:bottom="568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57" w:hanging="390"/>
      </w:pPr>
      <w:rPr>
        <w:rFonts w:hint="default"/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4"/>
    <w:next w:val="62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4"/>
    <w:next w:val="62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4"/>
    <w:next w:val="62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4"/>
    <w:next w:val="62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4"/>
    <w:next w:val="62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4"/>
    <w:next w:val="62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4"/>
    <w:next w:val="62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4"/>
    <w:next w:val="62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4"/>
    <w:next w:val="62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4"/>
    <w:next w:val="62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5"/>
    <w:link w:val="35"/>
    <w:uiPriority w:val="10"/>
    <w:rPr>
      <w:sz w:val="48"/>
      <w:szCs w:val="48"/>
    </w:rPr>
  </w:style>
  <w:style w:type="paragraph" w:styleId="37">
    <w:name w:val="Subtitle"/>
    <w:basedOn w:val="624"/>
    <w:next w:val="62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5"/>
    <w:link w:val="37"/>
    <w:uiPriority w:val="11"/>
    <w:rPr>
      <w:sz w:val="24"/>
      <w:szCs w:val="24"/>
    </w:rPr>
  </w:style>
  <w:style w:type="paragraph" w:styleId="39">
    <w:name w:val="Quote"/>
    <w:basedOn w:val="624"/>
    <w:next w:val="62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4"/>
    <w:next w:val="62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5"/>
    <w:link w:val="43"/>
    <w:uiPriority w:val="99"/>
  </w:style>
  <w:style w:type="paragraph" w:styleId="45">
    <w:name w:val="Footer"/>
    <w:basedOn w:val="62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5"/>
    <w:link w:val="45"/>
    <w:uiPriority w:val="99"/>
  </w:style>
  <w:style w:type="paragraph" w:styleId="47">
    <w:name w:val="Caption"/>
    <w:basedOn w:val="624"/>
    <w:next w:val="62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5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2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5"/>
    <w:uiPriority w:val="99"/>
    <w:unhideWhenUsed/>
    <w:rPr>
      <w:vertAlign w:val="superscript"/>
    </w:rPr>
  </w:style>
  <w:style w:type="paragraph" w:styleId="179">
    <w:name w:val="endnote text"/>
    <w:basedOn w:val="62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5"/>
    <w:uiPriority w:val="99"/>
    <w:semiHidden/>
    <w:unhideWhenUsed/>
    <w:rPr>
      <w:vertAlign w:val="superscript"/>
    </w:rPr>
  </w:style>
  <w:style w:type="paragraph" w:styleId="182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4"/>
    <w:next w:val="624"/>
    <w:uiPriority w:val="99"/>
    <w:unhideWhenUsed/>
    <w:pPr>
      <w:spacing w:after="0" w:afterAutospacing="0"/>
    </w:pPr>
  </w:style>
  <w:style w:type="paragraph" w:styleId="624" w:default="1">
    <w:name w:val="Normal"/>
    <w:qFormat/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character" w:styleId="628">
    <w:name w:val="Hyperlink"/>
    <w:uiPriority w:val="99"/>
    <w:unhideWhenUsed/>
    <w:rPr>
      <w:color w:val="0000ff"/>
      <w:u w:val="single"/>
    </w:rPr>
  </w:style>
  <w:style w:type="paragraph" w:styleId="629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</w:rPr>
  </w:style>
  <w:style w:type="paragraph" w:styleId="630">
    <w:name w:val="Balloon Text"/>
    <w:basedOn w:val="624"/>
    <w:link w:val="63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31" w:customStyle="1">
    <w:name w:val="Текст выноски Знак"/>
    <w:basedOn w:val="625"/>
    <w:link w:val="63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Юлия Андреевна</dc:creator>
  <cp:lastModifiedBy>Ирина Александровна</cp:lastModifiedBy>
  <cp:revision>16</cp:revision>
  <dcterms:created xsi:type="dcterms:W3CDTF">2025-07-17T09:32:00Z</dcterms:created>
  <dcterms:modified xsi:type="dcterms:W3CDTF">2026-09-04T06:02:19Z</dcterms:modified>
</cp:coreProperties>
</file>