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4"/>
        <w:ind w:left="0"/>
        <w:spacing w:line="20" w:lineRule="atLeas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Техническое </w:t>
      </w:r>
      <w:r>
        <w:rPr>
          <w:b/>
          <w:bCs/>
          <w:color w:val="auto"/>
          <w:sz w:val="22"/>
          <w:szCs w:val="22"/>
        </w:rPr>
        <w:t xml:space="preserve">задание</w:t>
      </w:r>
      <w:r>
        <w:rPr>
          <w:b/>
          <w:bCs/>
          <w:color w:val="auto"/>
          <w:sz w:val="22"/>
          <w:szCs w:val="22"/>
        </w:rPr>
      </w:r>
    </w:p>
    <w:p>
      <w:pPr>
        <w:jc w:val="center"/>
        <w:spacing w:line="20" w:lineRule="atLeas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на поставку </w:t>
      </w:r>
      <w:r>
        <w:rPr>
          <w:b/>
          <w:bCs/>
          <w:color w:val="auto"/>
          <w:sz w:val="22"/>
          <w:szCs w:val="22"/>
        </w:rPr>
        <w:t xml:space="preserve">грузового автомобиля</w:t>
      </w:r>
      <w:r>
        <w:rPr>
          <w:b/>
          <w:bCs/>
          <w:color w:val="auto"/>
          <w:sz w:val="22"/>
          <w:szCs w:val="22"/>
        </w:rPr>
        <w:t xml:space="preserve">.</w:t>
      </w:r>
      <w:r>
        <w:rPr>
          <w:b/>
          <w:bCs/>
          <w:color w:val="auto"/>
          <w:sz w:val="22"/>
          <w:szCs w:val="22"/>
        </w:rPr>
      </w:r>
    </w:p>
    <w:p>
      <w:pPr>
        <w:ind w:hanging="709"/>
        <w:spacing w:line="20" w:lineRule="atLeast"/>
        <w:tabs>
          <w:tab w:val="left" w:pos="142" w:leader="none"/>
        </w:tabs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1.</w:t>
      </w:r>
      <w:r>
        <w:rPr>
          <w:b/>
          <w:bCs/>
          <w:color w:val="auto"/>
          <w:sz w:val="22"/>
          <w:szCs w:val="22"/>
        </w:rPr>
        <w:t xml:space="preserve">Описание объекта закупки:</w:t>
      </w:r>
      <w:r>
        <w:rPr>
          <w:b/>
          <w:bCs/>
          <w:color w:val="auto"/>
          <w:sz w:val="22"/>
          <w:szCs w:val="22"/>
        </w:rPr>
      </w:r>
    </w:p>
    <w:p>
      <w:pPr>
        <w:pStyle w:val="746"/>
        <w:ind w:left="-709" w:right="-149"/>
        <w:jc w:val="both"/>
        <w:spacing w:line="20" w:lineRule="atLeast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При осуществлении закупок на вышеуказанные товары распространяются меры национального режима в виде «запрет» допуска согласно Постановлению Правительства Российско</w:t>
      </w:r>
      <w:r>
        <w:rPr>
          <w:i/>
          <w:iCs/>
          <w:color w:val="auto"/>
          <w:sz w:val="18"/>
          <w:szCs w:val="18"/>
        </w:rPr>
        <w:t xml:space="preserve">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  <w:r>
        <w:rPr>
          <w:i/>
          <w:iCs/>
          <w:color w:val="auto"/>
          <w:sz w:val="18"/>
          <w:szCs w:val="18"/>
        </w:rPr>
      </w:r>
    </w:p>
    <w:tbl>
      <w:tblPr>
        <w:tblW w:w="10207" w:type="dxa"/>
        <w:tblInd w:w="-714" w:type="dxa"/>
        <w:tblLook w:val="04A0" w:firstRow="1" w:lastRow="0" w:firstColumn="1" w:lastColumn="0" w:noHBand="0" w:noVBand="1"/>
      </w:tblPr>
      <w:tblGrid>
        <w:gridCol w:w="567"/>
        <w:gridCol w:w="1526"/>
        <w:gridCol w:w="3317"/>
        <w:gridCol w:w="1245"/>
        <w:gridCol w:w="1693"/>
        <w:gridCol w:w="1859"/>
      </w:tblGrid>
      <w:tr>
        <w:tblPrEx/>
        <w:trPr>
          <w:trHeight w:val="300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№ п/п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ОКПД 2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Наименование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Национальный режим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00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1875 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(Запрет)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1875 (Ограничение)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1875 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(Преимущество)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746"/>
              <w:numPr>
                <w:ilvl w:val="3"/>
                <w:numId w:val="20"/>
              </w:numPr>
              <w:contextualSpacing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29.10.41.11</w:t>
            </w:r>
            <w:r>
              <w:rPr>
                <w:rFonts w:cs="Times New Roman"/>
                <w:sz w:val="22"/>
                <w:szCs w:val="22"/>
              </w:rPr>
              <w:t xml:space="preserve">2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317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Грузовой автомобиль</w:t>
            </w:r>
            <w:r>
              <w:rPr>
                <w:rFonts w:cs="Times New Roman"/>
                <w:color w:val="auto"/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color w:val="ff0000"/>
                <w:sz w:val="22"/>
                <w:szCs w:val="22"/>
              </w:rPr>
              <w:t xml:space="preserve">✓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93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59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746"/>
        <w:ind w:left="-709" w:right="-149"/>
        <w:spacing w:line="20" w:lineRule="atLeast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</w:r>
      <w:r>
        <w:rPr>
          <w:i/>
          <w:iCs/>
          <w:color w:val="auto"/>
          <w:sz w:val="18"/>
          <w:szCs w:val="18"/>
        </w:rPr>
      </w:r>
    </w:p>
    <w:tbl>
      <w:tblPr>
        <w:tblStyle w:val="731"/>
        <w:tblW w:w="10197" w:type="dxa"/>
        <w:tblInd w:w="-70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5"/>
        <w:gridCol w:w="1975"/>
        <w:gridCol w:w="6663"/>
        <w:gridCol w:w="567"/>
        <w:gridCol w:w="567"/>
      </w:tblGrid>
      <w:tr>
        <w:tblPrEx/>
        <w:trPr>
          <w:trHeight w:val="442"/>
          <w:tblHeader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0" w:lineRule="atLeas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№</w:t>
            </w:r>
            <w:r>
              <w:rPr>
                <w:b/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spacing w:line="20" w:lineRule="atLeas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п/п</w:t>
            </w:r>
            <w:r>
              <w:rPr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75" w:type="dxa"/>
            <w:vAlign w:val="center"/>
            <w:textDirection w:val="lrTb"/>
            <w:noWrap w:val="false"/>
          </w:tcPr>
          <w:p>
            <w:pPr>
              <w:jc w:val="center"/>
              <w:spacing w:line="20" w:lineRule="atLeas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Наименование </w:t>
            </w:r>
            <w:r>
              <w:rPr>
                <w:b/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spacing w:line="20" w:lineRule="atLeas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товара</w:t>
            </w:r>
            <w:r>
              <w:rPr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6663" w:type="dxa"/>
            <w:vAlign w:val="center"/>
            <w:textDirection w:val="lrTb"/>
            <w:noWrap w:val="false"/>
          </w:tcPr>
          <w:p>
            <w:pPr>
              <w:jc w:val="center"/>
              <w:spacing w:line="20" w:lineRule="atLeas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Характеристики товара</w:t>
            </w:r>
            <w:r>
              <w:rPr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0" w:lineRule="atLeas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Ед. </w:t>
            </w:r>
            <w:r>
              <w:rPr>
                <w:b/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spacing w:line="20" w:lineRule="atLeas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изм.</w:t>
            </w:r>
            <w:r>
              <w:rPr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0" w:lineRule="atLeas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Кол -во</w:t>
            </w:r>
            <w:r>
              <w:rPr>
                <w:b/>
                <w:bCs/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1.</w:t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5" w:type="dxa"/>
            <w:textDirection w:val="lrTb"/>
            <w:noWrap w:val="false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Грузовой автомобиль</w:t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3010GD</w:t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C41R11 </w:t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(Б/У)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6663" w:type="dxa"/>
            <w:textDirection w:val="lrTb"/>
            <w:noWrap w:val="false"/>
          </w:tcPr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Количество мест (включая водителя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): 3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Тип: грузовой фургон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Передняя подвеска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: 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Рессорная, со стабилизатором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Задняя подвеска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: 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Рессорная, со стабилизатором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Колёсная формула: 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4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×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2 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Привод: задний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Тип коробки передач: механическая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Количество передач: 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не менее 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5 ступеней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Масса 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в 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снаряжённом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 состоянии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: 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51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00 кг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Максимальная допустимая масса: 8700 кг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Тип двигателя: дизель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tabs>
                <w:tab w:val="left" w:pos="4485" w:leader="none"/>
              </w:tabs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Мощность двигателя: 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1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6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8.9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 л. с.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 1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24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.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2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 кВт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tabs>
                <w:tab w:val="left" w:pos="4485" w:leader="none"/>
              </w:tabs>
              <w:rPr>
                <w:rFonts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Экологический класс: </w:t>
            </w:r>
            <w:r>
              <w:rPr>
                <w:rFonts w:cs="Times New Roman"/>
                <w:color w:val="auto"/>
                <w:sz w:val="22"/>
                <w:szCs w:val="22"/>
                <w:lang w:val="en-US"/>
              </w:rPr>
              <w:t xml:space="preserve">5</w:t>
            </w:r>
            <w:r>
              <w:rPr>
                <w:rFonts w:cs="Times New Roman"/>
                <w:color w:val="auto"/>
                <w:sz w:val="22"/>
                <w:szCs w:val="22"/>
                <w:lang w:val="en-US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Рабочий объем двигателя: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443</w:t>
            </w:r>
            <w:r>
              <w:rPr>
                <w:rFonts w:cs="Times New Roman"/>
                <w:color w:val="auto"/>
                <w:sz w:val="22"/>
                <w:szCs w:val="22"/>
                <w:lang w:val="en-US"/>
              </w:rPr>
              <w:t xml:space="preserve">3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 см³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  <w:p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Цвет: белый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Шт.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1</w:t>
            </w:r>
            <w:r>
              <w:rPr>
                <w:rFonts w:cs="Times New Roman"/>
                <w:color w:val="auto"/>
                <w:sz w:val="22"/>
                <w:szCs w:val="22"/>
              </w:rPr>
            </w:r>
          </w:p>
        </w:tc>
      </w:tr>
    </w:tbl>
    <w:p>
      <w:pPr>
        <w:ind w:left="-709"/>
        <w:jc w:val="both"/>
        <w:tabs>
          <w:tab w:val="left" w:pos="-709" w:leader="none"/>
        </w:tabs>
        <w:rPr>
          <w:rFonts w:eastAsia="Liberation Serif"/>
          <w:bCs/>
          <w:color w:val="auto"/>
          <w:sz w:val="22"/>
          <w:szCs w:val="22"/>
        </w:rPr>
      </w:pPr>
      <w:r/>
      <w:bookmarkStart w:id="0" w:name="_Hlk239760114"/>
      <w:r>
        <w:rPr>
          <w:rFonts w:eastAsia="Liberation Serif"/>
          <w:b/>
          <w:color w:val="auto"/>
          <w:sz w:val="22"/>
          <w:szCs w:val="22"/>
        </w:rPr>
        <w:t xml:space="preserve">2.Место поставки товара:</w:t>
      </w:r>
      <w:r>
        <w:rPr>
          <w:rFonts w:eastAsia="Liberation Serif"/>
          <w:b/>
          <w:color w:val="auto"/>
          <w:sz w:val="22"/>
          <w:szCs w:val="22"/>
        </w:rPr>
        <w:t xml:space="preserve"> </w:t>
      </w:r>
      <w:r>
        <w:rPr>
          <w:rFonts w:eastAsia="Liberation Serif"/>
          <w:bCs/>
          <w:color w:val="auto"/>
          <w:sz w:val="22"/>
          <w:szCs w:val="22"/>
        </w:rPr>
        <w:t xml:space="preserve">самовывоз</w:t>
      </w:r>
      <w:r>
        <w:rPr>
          <w:rFonts w:eastAsia="Liberation Serif"/>
          <w:bCs/>
          <w:color w:val="auto"/>
          <w:sz w:val="22"/>
          <w:szCs w:val="22"/>
        </w:rPr>
        <w:t xml:space="preserve"> </w:t>
      </w:r>
      <w:r>
        <w:rPr>
          <w:rFonts w:eastAsia="Liberation Serif"/>
          <w:bCs/>
          <w:color w:val="auto"/>
          <w:sz w:val="22"/>
          <w:szCs w:val="22"/>
        </w:rPr>
        <w:t xml:space="preserve">от места нахождения заказчика не более </w:t>
      </w:r>
      <w:r>
        <w:rPr>
          <w:rFonts w:eastAsia="Liberation Serif"/>
          <w:bCs/>
          <w:color w:val="auto"/>
          <w:sz w:val="22"/>
          <w:szCs w:val="22"/>
        </w:rPr>
        <w:t xml:space="preserve">1</w:t>
      </w:r>
      <w:r>
        <w:rPr>
          <w:rFonts w:eastAsia="Liberation Serif"/>
          <w:bCs/>
          <w:color w:val="auto"/>
          <w:sz w:val="22"/>
          <w:szCs w:val="22"/>
        </w:rPr>
        <w:t xml:space="preserve">5</w:t>
      </w:r>
      <w:r>
        <w:rPr>
          <w:rFonts w:eastAsia="Liberation Serif"/>
          <w:bCs/>
          <w:color w:val="auto"/>
          <w:sz w:val="22"/>
          <w:szCs w:val="22"/>
        </w:rPr>
        <w:t xml:space="preserve">0</w:t>
      </w:r>
      <w:r>
        <w:rPr>
          <w:rFonts w:eastAsia="Liberation Serif"/>
          <w:bCs/>
          <w:color w:val="auto"/>
          <w:sz w:val="22"/>
          <w:szCs w:val="22"/>
        </w:rPr>
        <w:t xml:space="preserve"> км (</w:t>
      </w:r>
      <w:r>
        <w:rPr>
          <w:rFonts w:eastAsia="Liberation Serif"/>
          <w:bCs/>
          <w:color w:val="auto"/>
          <w:sz w:val="22"/>
          <w:szCs w:val="22"/>
        </w:rPr>
        <w:t xml:space="preserve">452120</w:t>
      </w:r>
      <w:r>
        <w:rPr>
          <w:rFonts w:eastAsia="Liberation Serif"/>
          <w:bCs/>
          <w:color w:val="auto"/>
          <w:sz w:val="22"/>
          <w:szCs w:val="22"/>
        </w:rPr>
        <w:t xml:space="preserve">, Россия, Башкортостан Респ</w:t>
      </w:r>
      <w:r>
        <w:rPr>
          <w:rFonts w:eastAsia="Liberation Serif"/>
          <w:bCs/>
          <w:color w:val="auto"/>
          <w:sz w:val="22"/>
          <w:szCs w:val="22"/>
        </w:rPr>
        <w:t xml:space="preserve">ублики</w:t>
      </w:r>
      <w:r>
        <w:rPr>
          <w:rFonts w:eastAsia="Liberation Serif"/>
          <w:bCs/>
          <w:color w:val="auto"/>
          <w:sz w:val="22"/>
          <w:szCs w:val="22"/>
        </w:rPr>
        <w:t xml:space="preserve">, Альшеевский р-н, с. Раевский, ул. Больничная, </w:t>
      </w:r>
      <w:r>
        <w:rPr>
          <w:rFonts w:eastAsia="Liberation Serif"/>
          <w:bCs/>
          <w:color w:val="auto"/>
          <w:sz w:val="22"/>
          <w:szCs w:val="22"/>
        </w:rPr>
        <w:t xml:space="preserve">27к6</w:t>
      </w:r>
      <w:r>
        <w:rPr>
          <w:rFonts w:eastAsia="Liberation Serif"/>
          <w:bCs/>
          <w:color w:val="auto"/>
          <w:sz w:val="22"/>
          <w:szCs w:val="22"/>
        </w:rPr>
        <w:t xml:space="preserve">)</w:t>
      </w:r>
      <w:r>
        <w:rPr>
          <w:rFonts w:eastAsia="Liberation Serif"/>
          <w:bCs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  <w:lang w:eastAsia="ar-SA"/>
        </w:rPr>
      </w:pPr>
      <w:r>
        <w:rPr>
          <w:rFonts w:eastAsia="Liberation Serif"/>
          <w:b/>
          <w:color w:val="auto"/>
          <w:sz w:val="22"/>
          <w:szCs w:val="22"/>
        </w:rPr>
        <w:t xml:space="preserve">3.Срок поставки товара: </w:t>
      </w:r>
      <w:r>
        <w:rPr>
          <w:rFonts w:eastAsia="Liberation Serif"/>
          <w:bCs/>
          <w:color w:val="auto"/>
          <w:sz w:val="22"/>
          <w:szCs w:val="22"/>
        </w:rPr>
        <w:t xml:space="preserve">в течение </w:t>
      </w:r>
      <w:r>
        <w:rPr>
          <w:rFonts w:eastAsia="Liberation Serif"/>
          <w:bCs/>
          <w:color w:val="auto"/>
          <w:sz w:val="22"/>
          <w:szCs w:val="22"/>
        </w:rPr>
        <w:t xml:space="preserve">5</w:t>
      </w:r>
      <w:r>
        <w:rPr>
          <w:rFonts w:eastAsia="Liberation Serif"/>
          <w:bCs/>
          <w:color w:val="auto"/>
          <w:sz w:val="22"/>
          <w:szCs w:val="22"/>
        </w:rPr>
        <w:t xml:space="preserve"> рабочих дней </w:t>
      </w:r>
      <w:r>
        <w:rPr>
          <w:rFonts w:eastAsia="Liberation Serif"/>
          <w:bCs/>
          <w:color w:val="auto"/>
          <w:sz w:val="22"/>
          <w:szCs w:val="22"/>
        </w:rPr>
        <w:t xml:space="preserve">с момента</w:t>
      </w:r>
      <w:r>
        <w:rPr>
          <w:rFonts w:eastAsia="Calibri"/>
          <w:bCs/>
          <w:color w:val="auto"/>
          <w:sz w:val="22"/>
          <w:szCs w:val="22"/>
          <w:lang w:eastAsia="ar-SA"/>
        </w:rPr>
        <w:t xml:space="preserve"> заключения </w:t>
      </w:r>
      <w:r>
        <w:rPr>
          <w:rFonts w:eastAsia="Calibri"/>
          <w:bCs/>
          <w:color w:val="auto"/>
          <w:sz w:val="22"/>
          <w:szCs w:val="22"/>
          <w:lang w:eastAsia="ar-SA"/>
        </w:rPr>
        <w:t xml:space="preserve">договора</w:t>
      </w:r>
      <w:r>
        <w:rPr>
          <w:rFonts w:eastAsia="Calibri"/>
          <w:bCs/>
          <w:color w:val="auto"/>
          <w:sz w:val="22"/>
          <w:szCs w:val="22"/>
          <w:lang w:eastAsia="ar-SA"/>
        </w:rPr>
        <w:t xml:space="preserve">.</w:t>
      </w:r>
      <w:r>
        <w:rPr>
          <w:rFonts w:eastAsia="Calibri"/>
          <w:color w:val="auto"/>
          <w:sz w:val="22"/>
          <w:szCs w:val="22"/>
          <w:lang w:eastAsia="ar-SA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Liberation Serif"/>
          <w:bCs/>
          <w:color w:val="auto"/>
          <w:sz w:val="22"/>
          <w:szCs w:val="22"/>
        </w:rPr>
        <w:t xml:space="preserve">3.1.</w:t>
      </w:r>
      <w:bookmarkStart w:id="1" w:name="_Hlk239759801"/>
      <w:r>
        <w:rPr>
          <w:rFonts w:eastAsia="Calibri"/>
          <w:color w:val="auto"/>
          <w:sz w:val="22"/>
          <w:szCs w:val="22"/>
        </w:rPr>
        <w:t xml:space="preserve">В цену договора включаются все затраты Поставщика, включая все налоги, сборы и другие обязательные платежи, а также расходы на </w:t>
      </w:r>
      <w:bookmarkStart w:id="2" w:name="_Hlk239759833"/>
      <w:r>
        <w:rPr>
          <w:rFonts w:eastAsia="Calibri"/>
          <w:color w:val="auto"/>
          <w:sz w:val="22"/>
          <w:szCs w:val="22"/>
        </w:rPr>
        <w:t xml:space="preserve">доставку товара</w:t>
      </w:r>
      <w:r>
        <w:rPr>
          <w:rFonts w:eastAsia="Calibri"/>
          <w:color w:val="auto"/>
          <w:sz w:val="22"/>
          <w:szCs w:val="22"/>
        </w:rPr>
        <w:t xml:space="preserve"> до места передачи</w:t>
      </w:r>
      <w:bookmarkEnd w:id="2"/>
      <w:r>
        <w:rPr>
          <w:rFonts w:eastAsia="Calibri"/>
          <w:color w:val="auto"/>
          <w:sz w:val="22"/>
          <w:szCs w:val="22"/>
        </w:rPr>
        <w:t xml:space="preserve">, а также другие расходы Поставщика, связанные с исполнением обязательств по договору.</w:t>
      </w:r>
      <w:bookmarkEnd w:id="1"/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3.2. Поставщик обязан известить Заказчика о времени и дате поставки товара телефонограммой или по факсимильной связи.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b/>
          <w:bCs/>
          <w:color w:val="auto"/>
          <w:sz w:val="22"/>
          <w:szCs w:val="22"/>
        </w:rPr>
      </w:pPr>
      <w:r>
        <w:rPr>
          <w:rFonts w:eastAsia="Calibri"/>
          <w:b/>
          <w:bCs/>
          <w:color w:val="auto"/>
          <w:sz w:val="22"/>
          <w:szCs w:val="22"/>
        </w:rPr>
        <w:t xml:space="preserve">4. Общие требования к качеству товара:</w:t>
      </w:r>
      <w:r>
        <w:rPr>
          <w:rFonts w:eastAsia="Calibri"/>
          <w:b/>
          <w:bCs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4.1. Товар должен пройти предпродажную подготовку, а именно: все приборы должны быть установлены на автомобиль, товар должен быть полностью укомплектован, все параметры товара, его оборудование (приборы, узлы, агрегаты и детали) должны быть проверены. 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4.2. Товар должен быть вымыт и полностью готов к эксплуатации, должен быть заправлен всеми технологическими жидкостями, необходимыми для эксплуатации на момент приема-передачи товара в соответствии с техническим регламентом завода-производителя.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4.3. Качество поставляемого товара, включая комплектующие изделия к нему, должны полностью соответствовать требованиям, установленным действующим законодательством к подобному товару. Т</w:t>
      </w:r>
      <w:r>
        <w:rPr>
          <w:rFonts w:eastAsia="Calibri"/>
          <w:color w:val="auto"/>
          <w:sz w:val="22"/>
          <w:szCs w:val="22"/>
        </w:rPr>
        <w:t xml:space="preserve">овар (и его составные части) должен быть серийным. Товар не должен находиться: в залоге, под арестом или другим обременением, должен быть укомплектован запасными частями, инструментами и соответствующими принадлежностями согласно описи завода-изготовителя.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4.4. Поставляемый автомобиль должен быть </w:t>
      </w:r>
      <w:r>
        <w:rPr>
          <w:rFonts w:eastAsia="Calibri"/>
          <w:color w:val="auto"/>
          <w:sz w:val="22"/>
          <w:szCs w:val="22"/>
        </w:rPr>
        <w:t xml:space="preserve">изготовлен </w:t>
      </w:r>
      <w:r>
        <w:rPr>
          <w:rFonts w:eastAsia="Calibri"/>
          <w:color w:val="auto"/>
          <w:sz w:val="22"/>
          <w:szCs w:val="22"/>
        </w:rPr>
        <w:t xml:space="preserve">не ранее 20</w:t>
      </w:r>
      <w:r>
        <w:rPr>
          <w:rFonts w:eastAsia="Calibri"/>
          <w:color w:val="auto"/>
          <w:sz w:val="22"/>
          <w:szCs w:val="22"/>
        </w:rPr>
        <w:t xml:space="preserve">1</w:t>
      </w:r>
      <w:r>
        <w:rPr>
          <w:rFonts w:eastAsia="Calibri"/>
          <w:color w:val="auto"/>
          <w:sz w:val="22"/>
          <w:szCs w:val="22"/>
        </w:rPr>
        <w:t xml:space="preserve">8</w:t>
      </w:r>
      <w:r>
        <w:rPr>
          <w:rFonts w:eastAsia="Calibri"/>
          <w:color w:val="auto"/>
          <w:sz w:val="22"/>
          <w:szCs w:val="22"/>
        </w:rPr>
        <w:t xml:space="preserve"> года.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b/>
          <w:bCs/>
          <w:color w:val="auto"/>
          <w:sz w:val="22"/>
          <w:szCs w:val="22"/>
        </w:rPr>
      </w:pPr>
      <w:r>
        <w:rPr>
          <w:rFonts w:eastAsia="Calibri"/>
          <w:b/>
          <w:bCs/>
          <w:color w:val="auto"/>
          <w:sz w:val="22"/>
          <w:szCs w:val="22"/>
        </w:rPr>
        <w:t xml:space="preserve">5. Требования по передаче заказчику технических и иных документов при поставке товара:</w:t>
      </w:r>
      <w:r>
        <w:rPr>
          <w:rFonts w:eastAsia="Calibri"/>
          <w:b/>
          <w:bCs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5.1. Товар должен сопровождаться соответствующими сертификатами соответствия, безопасности и качества производства, выданными в соответствии с законодательством Российской Федерации.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5.2. Поставщик на момент поставки товара должен предоставить полный пакет разрешительной документации для регистрации в органах ГИБДД, в т.ч.: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- паспорт технического средства (оригинал) (далее ПТС) - 1 экз.;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- инструкцию по эксплуатации автомобиля на русском языке - 1 экз.;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- сервисную книжку с гарантийным талоном, с отметкой о проведении предпродажной подготовки - 1 экз;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- ключи зажигания в количестве не менее 2 шт.;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- акты приема передачи автомобиля - 2 экз.;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- руководство по эксплуатации на дополнительное оборудование;</w:t>
      </w:r>
      <w:r>
        <w:rPr>
          <w:rFonts w:eastAsia="Calibri"/>
          <w:color w:val="auto"/>
          <w:sz w:val="22"/>
          <w:szCs w:val="22"/>
        </w:rPr>
      </w:r>
    </w:p>
    <w:p>
      <w:pPr>
        <w:ind w:left="-709"/>
        <w:jc w:val="both"/>
        <w:tabs>
          <w:tab w:val="left" w:pos="-709" w:leader="none"/>
        </w:tabs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5.3. Поставщик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оборудования, присутствующих и установленных в товаре на момент его передачи.</w:t>
      </w:r>
      <w:bookmarkEnd w:id="0"/>
      <w:r/>
      <w:r>
        <w:rPr>
          <w:rFonts w:eastAsia="Calibri"/>
          <w:color w:val="auto"/>
          <w:sz w:val="22"/>
          <w:szCs w:val="22"/>
        </w:rPr>
      </w:r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egoe UI Symbol">
    <w:panose1 w:val="020B0502040504020204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Helvetica Neue">
    <w:panose1 w:val="020B0809030403020204"/>
  </w:font>
  <w:font w:name="Wingdings">
    <w:panose1 w:val="05010000000000000000"/>
  </w:font>
  <w:font w:name="Liberation Sans">
    <w:panose1 w:val="020B0604020202020204"/>
  </w:font>
  <w:font w:name="Arial Unicode M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5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6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3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53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0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8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5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2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39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6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411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num w:numId="1">
    <w:abstractNumId w:val="17"/>
  </w:num>
  <w:num w:numId="2">
    <w:abstractNumId w:val="18"/>
  </w:num>
  <w:num w:numId="3">
    <w:abstractNumId w:val="7"/>
  </w:num>
  <w:num w:numId="4">
    <w:abstractNumId w:val="12"/>
  </w:num>
  <w:num w:numId="5">
    <w:abstractNumId w:val="3"/>
  </w:num>
  <w:num w:numId="6">
    <w:abstractNumId w:val="0"/>
  </w:num>
  <w:num w:numId="7">
    <w:abstractNumId w:val="1"/>
  </w:num>
  <w:num w:numId="8">
    <w:abstractNumId w:val="15"/>
  </w:num>
  <w:num w:numId="9">
    <w:abstractNumId w:val="6"/>
  </w:num>
  <w:num w:numId="10">
    <w:abstractNumId w:val="13"/>
  </w:num>
  <w:num w:numId="11">
    <w:abstractNumId w:val="5"/>
  </w:num>
  <w:num w:numId="12">
    <w:abstractNumId w:val="19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9"/>
  </w:num>
  <w:num w:numId="18">
    <w:abstractNumId w:val="10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27"/>
    <w:link w:val="72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27"/>
    <w:link w:val="725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27"/>
    <w:link w:val="72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23"/>
    <w:next w:val="72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27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23"/>
    <w:next w:val="72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27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23"/>
    <w:next w:val="72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2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23"/>
    <w:next w:val="72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2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23"/>
    <w:next w:val="72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2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23"/>
    <w:next w:val="72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2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723"/>
    <w:next w:val="72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27"/>
    <w:link w:val="35"/>
    <w:uiPriority w:val="10"/>
    <w:rPr>
      <w:sz w:val="48"/>
      <w:szCs w:val="48"/>
    </w:rPr>
  </w:style>
  <w:style w:type="paragraph" w:styleId="37">
    <w:name w:val="Subtitle"/>
    <w:basedOn w:val="723"/>
    <w:next w:val="72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27"/>
    <w:link w:val="37"/>
    <w:uiPriority w:val="11"/>
    <w:rPr>
      <w:sz w:val="24"/>
      <w:szCs w:val="24"/>
    </w:rPr>
  </w:style>
  <w:style w:type="paragraph" w:styleId="39">
    <w:name w:val="Quote"/>
    <w:basedOn w:val="723"/>
    <w:next w:val="72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23"/>
    <w:next w:val="72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72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727"/>
    <w:link w:val="43"/>
    <w:uiPriority w:val="99"/>
  </w:style>
  <w:style w:type="paragraph" w:styleId="45">
    <w:name w:val="Footer"/>
    <w:basedOn w:val="72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727"/>
    <w:link w:val="45"/>
    <w:uiPriority w:val="99"/>
  </w:style>
  <w:style w:type="paragraph" w:styleId="47">
    <w:name w:val="Caption"/>
    <w:basedOn w:val="723"/>
    <w:next w:val="72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27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7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7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2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27"/>
    <w:uiPriority w:val="99"/>
    <w:unhideWhenUsed/>
    <w:rPr>
      <w:vertAlign w:val="superscript"/>
    </w:rPr>
  </w:style>
  <w:style w:type="paragraph" w:styleId="179">
    <w:name w:val="endnote text"/>
    <w:basedOn w:val="72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27"/>
    <w:uiPriority w:val="99"/>
    <w:semiHidden/>
    <w:unhideWhenUsed/>
    <w:rPr>
      <w:vertAlign w:val="superscript"/>
    </w:rPr>
  </w:style>
  <w:style w:type="paragraph" w:styleId="182">
    <w:name w:val="toc 1"/>
    <w:basedOn w:val="723"/>
    <w:next w:val="72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23"/>
    <w:next w:val="72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23"/>
    <w:next w:val="72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23"/>
    <w:next w:val="72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23"/>
    <w:next w:val="72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23"/>
    <w:next w:val="72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23"/>
    <w:next w:val="72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23"/>
    <w:next w:val="72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23"/>
    <w:next w:val="72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23"/>
    <w:next w:val="723"/>
    <w:uiPriority w:val="99"/>
    <w:unhideWhenUsed/>
    <w:pPr>
      <w:spacing w:after="0" w:afterAutospacing="0"/>
    </w:pPr>
  </w:style>
  <w:style w:type="paragraph" w:styleId="723" w:default="1">
    <w:name w:val="Normal"/>
    <w:rPr>
      <w:rFonts w:cs="Arial Unicode MS"/>
      <w:color w:val="000000"/>
    </w:rPr>
  </w:style>
  <w:style w:type="paragraph" w:styleId="724">
    <w:name w:val="Heading 1"/>
    <w:next w:val="723"/>
    <w:pPr>
      <w:ind w:left="5387"/>
      <w:jc w:val="center"/>
      <w:keepNext/>
      <w:outlineLvl w:val="0"/>
    </w:pPr>
    <w:rPr>
      <w:rFonts w:cs="Arial Unicode MS"/>
      <w:color w:val="000000"/>
      <w:sz w:val="28"/>
      <w:szCs w:val="28"/>
    </w:rPr>
  </w:style>
  <w:style w:type="paragraph" w:styleId="725">
    <w:name w:val="Heading 2"/>
    <w:basedOn w:val="723"/>
    <w:next w:val="723"/>
    <w:link w:val="745"/>
    <w:uiPriority w:val="9"/>
    <w:semiHidden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726">
    <w:name w:val="Heading 3"/>
    <w:basedOn w:val="723"/>
    <w:next w:val="723"/>
    <w:link w:val="741"/>
    <w:uiPriority w:val="9"/>
    <w:semiHidden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727" w:default="1">
    <w:name w:val="Default Paragraph Font"/>
    <w:uiPriority w:val="1"/>
    <w:semiHidden/>
    <w:unhideWhenUsed/>
  </w:style>
  <w:style w:type="table" w:styleId="7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9" w:default="1">
    <w:name w:val="No List"/>
    <w:uiPriority w:val="99"/>
    <w:semiHidden/>
    <w:unhideWhenUsed/>
  </w:style>
  <w:style w:type="character" w:styleId="730">
    <w:name w:val="Hyperlink"/>
    <w:rPr>
      <w:u w:val="single"/>
    </w:rPr>
  </w:style>
  <w:style w:type="table" w:styleId="731" w:customStyle="1">
    <w:name w:val="Table Normal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32" w:customStyle="1">
    <w:name w:val="Колонтитулы"/>
    <w:pPr>
      <w:tabs>
        <w:tab w:val="right" w:pos="9020" w:leader="none"/>
      </w:tabs>
    </w:pPr>
    <w:rPr>
      <w:rFonts w:ascii="Helvetica Neue" w:hAnsi="Helvetica Neue" w:cs="Arial Unicode MS"/>
      <w:color w:val="000000"/>
      <w:sz w:val="24"/>
      <w:szCs w:val="24"/>
    </w:rPr>
  </w:style>
  <w:style w:type="character" w:styleId="733">
    <w:name w:val="annotation reference"/>
    <w:basedOn w:val="727"/>
    <w:uiPriority w:val="99"/>
    <w:semiHidden/>
    <w:unhideWhenUsed/>
    <w:rPr>
      <w:sz w:val="16"/>
      <w:szCs w:val="16"/>
    </w:rPr>
  </w:style>
  <w:style w:type="paragraph" w:styleId="734">
    <w:name w:val="annotation text"/>
    <w:basedOn w:val="723"/>
    <w:link w:val="735"/>
    <w:uiPriority w:val="99"/>
    <w:semiHidden/>
    <w:unhideWhenUsed/>
  </w:style>
  <w:style w:type="character" w:styleId="735" w:customStyle="1">
    <w:name w:val="Текст примечания Знак"/>
    <w:basedOn w:val="727"/>
    <w:link w:val="734"/>
    <w:uiPriority w:val="99"/>
    <w:semiHidden/>
    <w:rPr>
      <w:rFonts w:cs="Arial Unicode MS"/>
      <w:color w:val="000000"/>
    </w:rPr>
  </w:style>
  <w:style w:type="paragraph" w:styleId="736">
    <w:name w:val="annotation subject"/>
    <w:basedOn w:val="734"/>
    <w:next w:val="734"/>
    <w:link w:val="737"/>
    <w:uiPriority w:val="99"/>
    <w:semiHidden/>
    <w:unhideWhenUsed/>
    <w:rPr>
      <w:b/>
      <w:bCs/>
    </w:rPr>
  </w:style>
  <w:style w:type="character" w:styleId="737" w:customStyle="1">
    <w:name w:val="Тема примечания Знак"/>
    <w:basedOn w:val="735"/>
    <w:link w:val="736"/>
    <w:uiPriority w:val="99"/>
    <w:semiHidden/>
    <w:rPr>
      <w:rFonts w:cs="Arial Unicode MS"/>
      <w:b/>
      <w:bCs/>
      <w:color w:val="000000"/>
    </w:rPr>
  </w:style>
  <w:style w:type="paragraph" w:styleId="738">
    <w:name w:val="Balloon Text"/>
    <w:basedOn w:val="723"/>
    <w:link w:val="739"/>
    <w:uiPriority w:val="99"/>
    <w:semiHidden/>
    <w:unhideWhenUsed/>
    <w:rPr>
      <w:sz w:val="18"/>
      <w:szCs w:val="18"/>
    </w:rPr>
  </w:style>
  <w:style w:type="character" w:styleId="739" w:customStyle="1">
    <w:name w:val="Текст выноски Знак"/>
    <w:basedOn w:val="727"/>
    <w:link w:val="738"/>
    <w:uiPriority w:val="99"/>
    <w:semiHidden/>
    <w:rPr>
      <w:rFonts w:cs="Arial Unicode MS"/>
      <w:color w:val="000000"/>
      <w:sz w:val="18"/>
      <w:szCs w:val="18"/>
    </w:rPr>
  </w:style>
  <w:style w:type="character" w:styleId="740">
    <w:name w:val="FollowedHyperlink"/>
    <w:basedOn w:val="727"/>
    <w:uiPriority w:val="99"/>
    <w:semiHidden/>
    <w:unhideWhenUsed/>
    <w:rPr>
      <w:color w:val="ff00ff" w:themeColor="followedHyperlink"/>
      <w:u w:val="single"/>
    </w:rPr>
  </w:style>
  <w:style w:type="character" w:styleId="741" w:customStyle="1">
    <w:name w:val="Заголовок 3 Знак"/>
    <w:basedOn w:val="727"/>
    <w:link w:val="726"/>
    <w:uiPriority w:val="9"/>
    <w:semiHidden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42" w:customStyle="1">
    <w:name w:val="docdata"/>
    <w:basedOn w:val="723"/>
    <w:pPr>
      <w:spacing w:before="100" w:beforeAutospacing="1" w:after="100" w:afterAutospacing="1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eastAsia="Times New Roman" w:cs="Times New Roman"/>
      <w:color w:val="auto"/>
      <w:sz w:val="24"/>
      <w:szCs w:val="24"/>
    </w:rPr>
  </w:style>
  <w:style w:type="paragraph" w:styleId="743">
    <w:name w:val="Normal (Web)"/>
    <w:basedOn w:val="723"/>
    <w:uiPriority w:val="99"/>
    <w:semiHidden/>
    <w:unhideWhenUsed/>
    <w:pPr>
      <w:spacing w:before="100" w:beforeAutospacing="1" w:after="100" w:afterAutospacing="1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eastAsia="Times New Roman" w:cs="Times New Roman"/>
      <w:color w:val="auto"/>
      <w:sz w:val="24"/>
      <w:szCs w:val="24"/>
    </w:rPr>
  </w:style>
  <w:style w:type="character" w:styleId="744" w:customStyle="1">
    <w:name w:val="1116"/>
    <w:basedOn w:val="727"/>
  </w:style>
  <w:style w:type="character" w:styleId="745" w:customStyle="1">
    <w:name w:val="Заголовок 2 Знак"/>
    <w:basedOn w:val="727"/>
    <w:link w:val="725"/>
    <w:uiPriority w:val="9"/>
    <w:semiHidden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746">
    <w:name w:val="List Paragraph"/>
    <w:basedOn w:val="723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272EF-6D15-4025-9B91-45FC2FBDA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ЭТП регион</dc:creator>
  <dc:description>DOC-MARKER-dppKavt8rjC9uAhAwIeERA</dc:description>
  <cp:lastModifiedBy>Матвей Олегович</cp:lastModifiedBy>
  <cp:revision>5</cp:revision>
  <dcterms:created xsi:type="dcterms:W3CDTF">2026-09-08T06:02:00Z</dcterms:created>
  <dcterms:modified xsi:type="dcterms:W3CDTF">2026-09-11T12:03:27Z</dcterms:modified>
</cp:coreProperties>
</file>