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1"/>
        <w:ind w:left="-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ТЕХНИЧЕСКОЕ З﻿‍‌‌‍‌​​‍‍⁠‍‌‍​﻿﻿‌‌‍﻿​​​⁠​﻿⁠﻿‌‌‌​‍‍‍​⁠​﻿‌‌‍‌АДАНИЕ</w:t>
      </w:r>
      <w:r>
        <w:rPr>
          <w:rFonts w:ascii="Times New Roman" w:hAnsi="Times New Roman"/>
          <w:b/>
          <w:sz w:val="24"/>
        </w:rPr>
      </w:r>
    </w:p>
    <w:p>
      <w:pPr>
        <w:pStyle w:val="871"/>
        <w:jc w:val="center"/>
        <w:rPr>
          <w:rFonts w:ascii="Times New Roman" w:hAnsi="Times New Roman"/>
          <w:b/>
          <w:sz w:val="24"/>
          <w:lang w:val="en-US"/>
        </w:rPr>
      </w:pPr>
      <w:r>
        <w:rPr>
          <w:rFonts w:ascii="Times New Roman" w:hAnsi="Times New Roman"/>
          <w:b/>
          <w:sz w:val="24"/>
        </w:rPr>
        <w:t xml:space="preserve">на поставку </w:t>
      </w:r>
      <w:r>
        <w:rPr>
          <w:rFonts w:ascii="Times New Roman" w:hAnsi="Times New Roman"/>
          <w:b/>
          <w:sz w:val="24"/>
        </w:rPr>
        <w:t xml:space="preserve">и монтаж </w:t>
      </w:r>
      <w:r>
        <w:rPr>
          <w:rFonts w:ascii="Times New Roman" w:hAnsi="Times New Roman"/>
          <w:b/>
          <w:sz w:val="24"/>
        </w:rPr>
        <w:t xml:space="preserve">пластиковых дверей</w:t>
      </w:r>
      <w:r>
        <w:rPr>
          <w:rFonts w:ascii="Times New Roman" w:hAnsi="Times New Roman"/>
          <w:b/>
          <w:sz w:val="24"/>
        </w:rPr>
        <w:t xml:space="preserve"> для нужд </w:t>
      </w:r>
      <w:r>
        <w:rPr>
          <w:rFonts w:ascii="Times New Roman" w:hAnsi="Times New Roman"/>
          <w:b/>
          <w:sz w:val="24"/>
        </w:rPr>
        <w:t xml:space="preserve">ГАУ </w:t>
      </w:r>
      <w:r>
        <w:rPr>
          <w:rFonts w:ascii="Times New Roman" w:hAnsi="Times New Roman"/>
          <w:b/>
          <w:sz w:val="24"/>
        </w:rPr>
        <w:t xml:space="preserve">«</w:t>
      </w:r>
      <w:r>
        <w:rPr>
          <w:rFonts w:ascii="Times New Roman" w:hAnsi="Times New Roman"/>
          <w:b/>
          <w:sz w:val="24"/>
        </w:rPr>
        <w:t xml:space="preserve">СРЦН ШАЛИНСКОГО РАЙОНА</w:t>
      </w:r>
      <w:r>
        <w:rPr>
          <w:rFonts w:ascii="Times New Roman" w:hAnsi="Times New Roman"/>
          <w:b/>
          <w:sz w:val="24"/>
        </w:rPr>
        <w:t xml:space="preserve">»</w:t>
      </w:r>
      <w:r>
        <w:rPr>
          <w:rFonts w:ascii="Times New Roman" w:hAnsi="Times New Roman"/>
          <w:b/>
          <w:sz w:val="24"/>
          <w:lang w:val="en-US"/>
        </w:rPr>
      </w:r>
    </w:p>
    <w:p>
      <w:pPr>
        <w:pStyle w:val="871"/>
        <w:ind w:left="-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911"/>
        <w:ind w:left="0"/>
        <w:spacing w:after="0" w:line="20" w:lineRule="atLeast"/>
        <w:rPr>
          <w:rFonts w:ascii="Times New Roman" w:hAnsi="Times New Roman"/>
          <w:i/>
          <w:iCs/>
          <w:sz w:val="18"/>
          <w:szCs w:val="18"/>
        </w:rPr>
        <w:outlineLvl w:val="0"/>
      </w:pPr>
      <w:r>
        <w:rPr>
          <w:rFonts w:ascii="Times New Roman" w:hAnsi="Times New Roman"/>
          <w:i/>
          <w:iCs/>
          <w:sz w:val="18"/>
          <w:szCs w:val="18"/>
        </w:rPr>
        <w:t xml:space="preserve">Таблица применения Постановле</w:t>
      </w:r>
      <w:r>
        <w:rPr>
          <w:rFonts w:ascii="Times New Roman" w:hAnsi="Times New Roman"/>
          <w:i/>
          <w:iCs/>
          <w:sz w:val="18"/>
          <w:szCs w:val="18"/>
        </w:rPr>
        <w:t xml:space="preserve">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  <w:r>
        <w:rPr>
          <w:rFonts w:ascii="Times New Roman" w:hAnsi="Times New Roman"/>
          <w:i/>
          <w:iCs/>
          <w:sz w:val="18"/>
          <w:szCs w:val="18"/>
        </w:rPr>
      </w:r>
    </w:p>
    <w:tbl>
      <w:tblPr>
        <w:tblW w:w="10329" w:type="dxa"/>
        <w:tblCellSpacing w:w="0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843"/>
        <w:gridCol w:w="3186"/>
        <w:gridCol w:w="1430"/>
        <w:gridCol w:w="1991"/>
        <w:gridCol w:w="1879"/>
      </w:tblGrid>
      <w:tr>
        <w:tblPrEx/>
        <w:trPr>
          <w:tblCellSpacing w:w="0" w:type="dxa"/>
          <w:trHeight w:val="345"/>
        </w:trPr>
        <w:tc>
          <w:tcPr>
            <w:shd w:val="clear" w:color="auto" w:fill="ffffff"/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 xml:space="preserve">ОКПД 2</w:t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shd w:val="clear" w:color="auto" w:fill="ffffff"/>
            <w:tcW w:w="31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 xml:space="preserve">Наименование</w:t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gridSpan w:val="3"/>
            <w:shd w:val="clear" w:color="auto" w:fill="ffffff"/>
            <w:tcW w:w="530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 xml:space="preserve">Национальный режим</w:t>
            </w:r>
            <w:r>
              <w:rPr>
                <w:color w:val="auto"/>
                <w:sz w:val="24"/>
                <w:szCs w:val="24"/>
              </w:rPr>
            </w:r>
          </w:p>
        </w:tc>
      </w:tr>
      <w:tr>
        <w:tblPrEx/>
        <w:trPr>
          <w:tblCellSpacing w:w="0" w:type="dxa"/>
          <w:trHeight w:val="345"/>
        </w:trPr>
        <w:tc>
          <w:tcPr>
            <w:tcW w:w="1843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31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shd w:val="clear" w:color="auto" w:fill="ffffff"/>
            <w:tcW w:w="143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 xml:space="preserve">1875 (Запрет)</w:t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shd w:val="clear" w:color="auto" w:fill="ffffff"/>
            <w:tcW w:w="199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 xml:space="preserve">1875 (Ограничение)</w:t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shd w:val="clear" w:color="auto" w:fill="ffffff"/>
            <w:tcW w:w="1879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 xml:space="preserve">1875 (Преимущество)</w:t>
            </w:r>
            <w:r>
              <w:rPr>
                <w:color w:val="auto"/>
                <w:sz w:val="24"/>
                <w:szCs w:val="24"/>
              </w:rPr>
            </w:r>
          </w:p>
        </w:tc>
      </w:tr>
      <w:tr>
        <w:tblPrEx/>
        <w:trPr>
          <w:tblCellSpacing w:w="0" w:type="dxa"/>
          <w:trHeight w:val="315"/>
        </w:trPr>
        <w:tc>
          <w:tcPr>
            <w:shd w:val="clear" w:color="auto" w:fill="ffffff"/>
            <w:tcW w:w="1843" w:type="dxa"/>
            <w:textDirection w:val="lrTb"/>
            <w:noWrap w:val="false"/>
          </w:tcPr>
          <w:p>
            <w:pPr>
              <w:widowControl w:val="off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22.23.14.110</w:t>
            </w:r>
            <w:r>
              <w:rPr>
                <w:color w:val="auto"/>
                <w:sz w:val="22"/>
                <w:szCs w:val="22"/>
              </w:rPr>
            </w:r>
          </w:p>
        </w:tc>
        <w:tc>
          <w:tcPr>
            <w:shd w:val="clear" w:color="auto" w:fill="ffffff"/>
            <w:tcW w:w="3186" w:type="dxa"/>
            <w:textDirection w:val="lrTb"/>
            <w:noWrap w:val="false"/>
          </w:tcPr>
          <w:p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 w:val="22"/>
                <w:szCs w:val="22"/>
              </w:rPr>
              <w:t xml:space="preserve">Блок дверной</w:t>
            </w:r>
            <w:r>
              <w:rPr>
                <w:color w:val="auto"/>
                <w:szCs w:val="24"/>
              </w:rPr>
            </w:r>
          </w:p>
        </w:tc>
        <w:tc>
          <w:tcPr>
            <w:shd w:val="clear" w:color="auto" w:fill="ffffff"/>
            <w:tcW w:w="143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shd w:val="clear" w:color="auto" w:fill="ffffff"/>
            <w:tcW w:w="199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shd w:val="clear" w:color="auto" w:fill="ffffff"/>
            <w:tcW w:w="1879" w:type="dxa"/>
            <w:textDirection w:val="lrTb"/>
            <w:noWrap w:val="false"/>
          </w:tcPr>
          <w:p>
            <w:pPr>
              <w:ind w:right="-115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 xml:space="preserve">✓</w:t>
            </w:r>
            <w:r>
              <w:rPr>
                <w:color w:val="auto"/>
                <w:sz w:val="24"/>
                <w:szCs w:val="24"/>
              </w:rPr>
            </w:r>
          </w:p>
        </w:tc>
      </w:tr>
      <w:tr>
        <w:tblPrEx/>
        <w:trPr>
          <w:tblCellSpacing w:w="0" w:type="dxa"/>
          <w:trHeight w:val="315"/>
        </w:trPr>
        <w:tc>
          <w:tcPr>
            <w:shd w:val="clear" w:color="auto" w:fill="ffffff"/>
            <w:tcW w:w="1843" w:type="dxa"/>
            <w:textDirection w:val="lrTb"/>
            <w:noWrap w:val="false"/>
          </w:tcPr>
          <w:p>
            <w:pPr>
              <w:widowControl w:val="off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22.23.14.110</w:t>
            </w:r>
            <w:r>
              <w:rPr>
                <w:color w:val="auto"/>
                <w:sz w:val="22"/>
                <w:szCs w:val="22"/>
              </w:rPr>
            </w:r>
          </w:p>
        </w:tc>
        <w:tc>
          <w:tcPr>
            <w:shd w:val="clear" w:color="auto" w:fill="ffffff"/>
            <w:tcW w:w="3186" w:type="dxa"/>
            <w:textDirection w:val="lrTb"/>
            <w:noWrap w:val="false"/>
          </w:tcPr>
          <w:p>
            <w:pPr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Блок дверной</w:t>
            </w:r>
            <w:r>
              <w:rPr>
                <w:color w:val="auto"/>
              </w:rPr>
            </w:r>
          </w:p>
        </w:tc>
        <w:tc>
          <w:tcPr>
            <w:shd w:val="clear" w:color="auto" w:fill="ffffff"/>
            <w:tcW w:w="1430" w:type="dxa"/>
            <w:textDirection w:val="lrTb"/>
            <w:noWrap w:val="false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shd w:val="clear" w:color="auto" w:fill="ffffff"/>
            <w:tcW w:w="1991" w:type="dxa"/>
            <w:textDirection w:val="lrTb"/>
            <w:noWrap w:val="false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shd w:val="clear" w:color="auto" w:fill="ffffff"/>
            <w:tcW w:w="1879" w:type="dxa"/>
            <w:textDirection w:val="lrTb"/>
            <w:noWrap w:val="false"/>
          </w:tcPr>
          <w:p>
            <w:pPr>
              <w:ind w:right="-115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 xml:space="preserve">✓</w:t>
            </w:r>
            <w:r>
              <w:rPr>
                <w:color w:val="auto"/>
                <w:sz w:val="24"/>
                <w:szCs w:val="24"/>
              </w:rPr>
            </w:r>
          </w:p>
        </w:tc>
      </w:tr>
      <w:tr>
        <w:tblPrEx/>
        <w:trPr>
          <w:tblCellSpacing w:w="0" w:type="dxa"/>
          <w:trHeight w:val="315"/>
        </w:trPr>
        <w:tc>
          <w:tcPr>
            <w:shd w:val="clear" w:color="auto" w:fill="ffffff"/>
            <w:tcW w:w="1843" w:type="dxa"/>
            <w:textDirection w:val="lrTb"/>
            <w:noWrap w:val="false"/>
          </w:tcPr>
          <w:p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2"/>
                <w:szCs w:val="22"/>
              </w:rPr>
              <w:t xml:space="preserve">22.23.14.110</w:t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shd w:val="clear" w:color="auto" w:fill="ffffff"/>
            <w:tcW w:w="3186" w:type="dxa"/>
            <w:textDirection w:val="lrTb"/>
            <w:noWrap w:val="false"/>
          </w:tcPr>
          <w:p>
            <w:pPr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Блок дверной</w:t>
            </w:r>
            <w:r>
              <w:rPr>
                <w:color w:val="auto"/>
              </w:rPr>
            </w:r>
          </w:p>
        </w:tc>
        <w:tc>
          <w:tcPr>
            <w:shd w:val="clear" w:color="auto" w:fill="ffffff"/>
            <w:tcW w:w="1430" w:type="dxa"/>
            <w:textDirection w:val="lrTb"/>
            <w:noWrap w:val="false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shd w:val="clear" w:color="auto" w:fill="ffffff"/>
            <w:tcW w:w="1991" w:type="dxa"/>
            <w:textDirection w:val="lrTb"/>
            <w:noWrap w:val="false"/>
          </w:tcPr>
          <w:p>
            <w:pPr>
              <w:jc w:val="center"/>
              <w:rPr>
                <w:rFonts w:ascii="Segoe UI Symbol" w:hAnsi="Segoe UI Symbol" w:cs="Segoe UI Symbol"/>
                <w:color w:val="auto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auto"/>
                <w:sz w:val="24"/>
                <w:szCs w:val="24"/>
              </w:rPr>
            </w:r>
            <w:r>
              <w:rPr>
                <w:rFonts w:ascii="Segoe UI Symbol" w:hAnsi="Segoe UI Symbol" w:cs="Segoe UI Symbol"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ffffff"/>
            <w:tcW w:w="1879" w:type="dxa"/>
            <w:textDirection w:val="lrTb"/>
            <w:noWrap w:val="false"/>
          </w:tcPr>
          <w:p>
            <w:pPr>
              <w:ind w:right="-115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 xml:space="preserve">✓</w:t>
            </w:r>
            <w:r>
              <w:rPr>
                <w:color w:val="auto"/>
                <w:sz w:val="24"/>
                <w:szCs w:val="24"/>
              </w:rPr>
            </w:r>
          </w:p>
        </w:tc>
      </w:tr>
      <w:tr>
        <w:tblPrEx/>
        <w:trPr>
          <w:tblCellSpacing w:w="0" w:type="dxa"/>
          <w:trHeight w:val="315"/>
        </w:trPr>
        <w:tc>
          <w:tcPr>
            <w:shd w:val="clear" w:color="auto" w:fill="ffffff"/>
            <w:tcW w:w="1843" w:type="dxa"/>
            <w:textDirection w:val="lrTb"/>
            <w:noWrap w:val="false"/>
          </w:tcPr>
          <w:p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43.32.10.110</w:t>
            </w:r>
            <w:r>
              <w:rPr>
                <w:color w:val="auto"/>
                <w:sz w:val="22"/>
                <w:szCs w:val="22"/>
              </w:rPr>
            </w:r>
          </w:p>
        </w:tc>
        <w:tc>
          <w:tcPr>
            <w:shd w:val="clear" w:color="auto" w:fill="ffffff"/>
            <w:tcW w:w="3186" w:type="dxa"/>
            <w:textDirection w:val="lrTb"/>
            <w:noWrap w:val="false"/>
          </w:tcPr>
          <w:p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Монтаж и установка дверных блоков</w:t>
            </w:r>
            <w:r>
              <w:rPr>
                <w:color w:val="auto"/>
                <w:sz w:val="22"/>
                <w:szCs w:val="22"/>
              </w:rPr>
            </w:r>
          </w:p>
        </w:tc>
        <w:tc>
          <w:tcPr>
            <w:gridSpan w:val="3"/>
            <w:shd w:val="clear" w:color="auto" w:fill="ffffff"/>
            <w:tcW w:w="5300" w:type="dxa"/>
            <w:textDirection w:val="lrTb"/>
            <w:noWrap w:val="false"/>
          </w:tcPr>
          <w:p>
            <w:pPr>
              <w:ind w:right="-115"/>
              <w:jc w:val="center"/>
              <w:rPr>
                <w:rFonts w:ascii="Segoe UI Symbol" w:hAnsi="Segoe UI Symbol" w:cs="Segoe UI Symbol"/>
                <w:color w:val="auto"/>
                <w:sz w:val="24"/>
                <w:szCs w:val="24"/>
              </w:rPr>
            </w:pPr>
            <w:r>
              <w:rPr>
                <w:color w:val="auto"/>
                <w:sz w:val="22"/>
                <w:szCs w:val="22"/>
              </w:rPr>
              <w:t xml:space="preserve">Не применяется</w:t>
            </w:r>
            <w:r>
              <w:rPr>
                <w:rFonts w:ascii="Segoe UI Symbol" w:hAnsi="Segoe UI Symbol" w:cs="Segoe UI Symbol"/>
                <w:color w:val="auto"/>
                <w:sz w:val="24"/>
                <w:szCs w:val="24"/>
              </w:rPr>
            </w:r>
          </w:p>
        </w:tc>
      </w:tr>
    </w:tbl>
    <w:p>
      <w:pPr>
        <w:pStyle w:val="935"/>
        <w:jc w:val="both"/>
        <w:spacing w:before="0" w:beforeAutospacing="0" w:after="0" w:afterAutospacing="0"/>
        <w:rPr>
          <w:i/>
          <w:iCs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 xml:space="preserve">В случае, если в документации (в каком-либо документе, входящем в состав документации, прикрепленном отдельным файлом к документации) имеются указания на знаки обслуживания, фирменные и торговые наименования, патенты, полезные м</w:t>
      </w:r>
      <w:r>
        <w:rPr>
          <w:i/>
          <w:iCs/>
          <w:color w:val="000000"/>
          <w:sz w:val="22"/>
          <w:szCs w:val="22"/>
        </w:rPr>
        <w:t xml:space="preserve">одели, промышленные образцы, указания на товарный знак, наименование места происхождения товара или наименование производителя, то такие указания следует читать «знаки обслуживания или эквивалент», «фирменные наименования или эквивалент», «торговые наимено</w:t>
      </w:r>
      <w:r>
        <w:rPr>
          <w:i/>
          <w:iCs/>
          <w:color w:val="000000"/>
          <w:sz w:val="22"/>
          <w:szCs w:val="22"/>
        </w:rPr>
        <w:t xml:space="preserve">вания или эквивалент», «патенты или эквивалент», «полезные модели или эквивалент», «промышленные образцы или эквивалент», «товарный знак или эквивалент», «наименование места происхождения товара или эквивалент», «наименование производителя или эквивалент».</w:t>
      </w:r>
      <w:r>
        <w:rPr>
          <w:i/>
          <w:iCs/>
          <w:sz w:val="22"/>
          <w:szCs w:val="22"/>
        </w:rPr>
      </w:r>
    </w:p>
    <w:p>
      <w:pPr>
        <w:pStyle w:val="911"/>
        <w:numPr>
          <w:ilvl w:val="0"/>
          <w:numId w:val="13"/>
        </w:numPr>
        <w:jc w:val="left"/>
        <w:spacing w:before="0" w:after="0"/>
        <w:tabs>
          <w:tab w:val="left" w:pos="426" w:leader="none"/>
          <w:tab w:val="right" w:pos="9360" w:leader="none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Наименование, краткие ха⁠‌﻿⁠‍‌‌​​​﻿﻿⁠﻿​‍​​‍‌‌​‍​​‌‌‌﻿​​﻿​​﻿‌‍﻿​﻿﻿​‌​</w:t>
      </w:r>
      <w:r>
        <w:rPr>
          <w:rFonts w:ascii="Times New Roman" w:hAnsi="Times New Roman"/>
          <w:b/>
          <w:bCs/>
        </w:rPr>
        <w:t xml:space="preserve">рактеристики</w:t>
      </w:r>
      <w:r>
        <w:rPr>
          <w:rFonts w:ascii="Times New Roman" w:hAnsi="Times New Roman"/>
          <w:b/>
          <w:bCs/>
        </w:rPr>
        <w:t xml:space="preserve">, количество поставляемых товаров: </w:t>
      </w:r>
      <w:r>
        <w:rPr>
          <w:rFonts w:ascii="Times New Roman" w:hAnsi="Times New Roman"/>
          <w:b/>
          <w:bCs/>
        </w:rPr>
      </w:r>
    </w:p>
    <w:p>
      <w:pPr>
        <w:tabs>
          <w:tab w:val="left" w:pos="426" w:leader="none"/>
          <w:tab w:val="right" w:pos="9360" w:leader="none"/>
        </w:tabs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tbl>
      <w:tblPr>
        <w:tblStyle w:val="929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535"/>
        <w:gridCol w:w="1445"/>
        <w:gridCol w:w="6719"/>
        <w:gridCol w:w="647"/>
        <w:gridCol w:w="855"/>
      </w:tblGrid>
      <w:tr>
        <w:tblPrEx/>
        <w:trPr>
          <w:jc w:val="center"/>
        </w:trPr>
        <w:tc>
          <w:tcPr>
            <w:shd w:val="clear" w:color="auto" w:fill="c5e0b3" w:themeFill="accent6" w:themeFillTint="66"/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п/п</w:t>
            </w:r>
            <w:r>
              <w:rPr>
                <w:b/>
                <w:color w:val="auto"/>
                <w:sz w:val="22"/>
                <w:szCs w:val="22"/>
              </w:rPr>
            </w:r>
          </w:p>
        </w:tc>
        <w:tc>
          <w:tcPr>
            <w:shd w:val="clear" w:color="auto" w:fill="c5e0b3" w:themeFill="accent6" w:themeFillTint="66"/>
            <w:tcBorders>
              <w:bottom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5" w:type="dxa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На⁠‌‌​‍‌​⁠</w:t>
            </w:r>
            <w:r>
              <w:rPr>
                <w:rFonts w:ascii="Tahoma" w:hAnsi="Tahoma" w:cs="Tahoma"/>
                <w:b/>
                <w:color w:val="auto"/>
                <w:sz w:val="22"/>
                <w:szCs w:val="22"/>
              </w:rPr>
              <w:t xml:space="preserve">﻿﻿</w:t>
            </w:r>
            <w:r>
              <w:rPr>
                <w:b/>
                <w:color w:val="auto"/>
                <w:sz w:val="22"/>
                <w:szCs w:val="22"/>
              </w:rPr>
              <w:t xml:space="preserve">​</w:t>
            </w:r>
            <w:r>
              <w:rPr>
                <w:rFonts w:ascii="Tahoma" w:hAnsi="Tahoma" w:cs="Tahoma"/>
                <w:b/>
                <w:color w:val="auto"/>
                <w:sz w:val="22"/>
                <w:szCs w:val="22"/>
              </w:rPr>
              <w:t xml:space="preserve">﻿</w:t>
            </w:r>
            <w:r>
              <w:rPr>
                <w:b/>
                <w:color w:val="auto"/>
                <w:sz w:val="22"/>
                <w:szCs w:val="22"/>
              </w:rPr>
              <w:t xml:space="preserve">​​‌</w:t>
            </w:r>
            <w:r>
              <w:rPr>
                <w:rFonts w:ascii="Tahoma" w:hAnsi="Tahoma" w:cs="Tahoma"/>
                <w:b/>
                <w:color w:val="auto"/>
                <w:sz w:val="22"/>
                <w:szCs w:val="22"/>
              </w:rPr>
              <w:t xml:space="preserve">﻿</w:t>
            </w:r>
            <w:r>
              <w:rPr>
                <w:b/>
                <w:color w:val="auto"/>
                <w:sz w:val="22"/>
                <w:szCs w:val="22"/>
              </w:rPr>
              <w:t xml:space="preserve">именование товара</w:t>
            </w:r>
            <w:r>
              <w:rPr>
                <w:b/>
                <w:color w:val="auto"/>
                <w:sz w:val="22"/>
                <w:szCs w:val="22"/>
              </w:rPr>
            </w:r>
          </w:p>
        </w:tc>
        <w:tc>
          <w:tcPr>
            <w:shd w:val="clear" w:color="auto" w:fill="c5e0b3" w:themeFill="accent6" w:themeFillTint="66"/>
            <w:tcMar>
              <w:left w:w="108" w:type="dxa"/>
              <w:top w:w="0" w:type="dxa"/>
              <w:right w:w="108" w:type="dxa"/>
              <w:bottom w:w="0" w:type="dxa"/>
            </w:tcMar>
            <w:tcW w:w="6719" w:type="dxa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Технические характеристики</w:t>
            </w:r>
            <w:r>
              <w:rPr>
                <w:b/>
                <w:color w:val="auto"/>
                <w:sz w:val="22"/>
                <w:szCs w:val="22"/>
              </w:rPr>
            </w:r>
          </w:p>
        </w:tc>
        <w:tc>
          <w:tcPr>
            <w:shd w:val="clear" w:color="auto" w:fill="c5e0b3" w:themeFill="accent6" w:themeFillTint="66"/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Ед. изм.</w:t>
            </w:r>
            <w:r>
              <w:rPr>
                <w:b/>
                <w:color w:val="auto"/>
                <w:sz w:val="22"/>
                <w:szCs w:val="22"/>
              </w:rPr>
            </w:r>
          </w:p>
        </w:tc>
        <w:tc>
          <w:tcPr>
            <w:shd w:val="clear" w:color="auto" w:fill="c5e0b3" w:themeFill="accent6" w:themeFillTint="66"/>
            <w:tcMar>
              <w:left w:w="108" w:type="dxa"/>
              <w:top w:w="0" w:type="dxa"/>
              <w:right w:w="108" w:type="dxa"/>
              <w:bottom w:w="0" w:type="dxa"/>
            </w:tcMar>
            <w:tcW w:w="855" w:type="dxa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Кол-во</w:t>
            </w:r>
            <w:r>
              <w:rPr>
                <w:b/>
                <w:color w:val="auto"/>
                <w:sz w:val="22"/>
                <w:szCs w:val="22"/>
              </w:rPr>
            </w:r>
          </w:p>
        </w:tc>
      </w:tr>
      <w:tr>
        <w:tblPrEx/>
        <w:trPr>
          <w:jc w:val="center"/>
          <w:trHeight w:val="44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textDirection w:val="lrTb"/>
            <w:noWrap w:val="false"/>
          </w:tcPr>
          <w:p>
            <w:pPr>
              <w:pStyle w:val="911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color w:val="auto"/>
                <w:sz w:val="22"/>
                <w:szCs w:val="22"/>
              </w:rPr>
            </w:r>
            <w:r>
              <w:rPr>
                <w:rFonts w:ascii="Times New Roman" w:hAnsi="Times New Roman"/>
                <w:bCs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5" w:type="dxa"/>
            <w:textDirection w:val="lrTb"/>
            <w:noWrap w:val="false"/>
          </w:tcPr>
          <w:p>
            <w:pPr>
              <w:widowControl w:val="off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Блок дверной</w:t>
            </w:r>
            <w:r>
              <w:rPr>
                <w:color w:val="auto"/>
                <w:sz w:val="22"/>
                <w:szCs w:val="22"/>
              </w:rPr>
            </w:r>
          </w:p>
          <w:p>
            <w:pPr>
              <w:widowControl w:val="off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  <w:r>
              <w:rPr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9" w:type="dxa"/>
            <w:textDirection w:val="lrTb"/>
            <w:noWrap w:val="false"/>
          </w:tcPr>
          <w:p>
            <w:pPr>
              <w:pStyle w:val="871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Тип двери по месту установки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Межкомнатная (М)</w:t>
            </w:r>
            <w:r>
              <w:rPr>
                <w:rFonts w:ascii="Times New Roman" w:hAnsi="Times New Roman"/>
                <w:color w:val="auto"/>
                <w:szCs w:val="22"/>
              </w:rPr>
              <w:tab/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pStyle w:val="871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Материал изготовления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: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п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оливинилхлоридный (ПВХ)</w:t>
            </w:r>
            <w:r>
              <w:rPr>
                <w:rFonts w:ascii="Times New Roman" w:hAnsi="Times New Roman"/>
                <w:color w:val="auto"/>
                <w:szCs w:val="22"/>
              </w:rPr>
              <w:tab/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pStyle w:val="871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Высота дверного полотна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: не менее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186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см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pStyle w:val="871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Ширина дверного полотна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: не менее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90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см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pStyle w:val="871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Толщина дверного полотна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: не менее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7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см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pStyle w:val="871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Тип двери по числу полотен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: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о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днопольная</w:t>
            </w:r>
            <w:r>
              <w:rPr>
                <w:rFonts w:ascii="Times New Roman" w:hAnsi="Times New Roman"/>
                <w:color w:val="auto"/>
                <w:szCs w:val="22"/>
              </w:rPr>
              <w:tab/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pStyle w:val="871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Тип двери по способу открывания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: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р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аспашная</w:t>
            </w:r>
            <w:r>
              <w:rPr>
                <w:rFonts w:ascii="Times New Roman" w:hAnsi="Times New Roman"/>
                <w:color w:val="auto"/>
                <w:szCs w:val="22"/>
              </w:rPr>
              <w:tab/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pStyle w:val="871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Тип двери по наличию остекления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: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г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лухая</w:t>
            </w:r>
            <w:r>
              <w:rPr>
                <w:rFonts w:ascii="Times New Roman" w:hAnsi="Times New Roman"/>
                <w:color w:val="auto"/>
                <w:szCs w:val="22"/>
              </w:rPr>
              <w:tab/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pStyle w:val="871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Цвет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по согласованию с Заказчиком</w:t>
            </w:r>
            <w:r>
              <w:rPr>
                <w:rFonts w:ascii="Times New Roman" w:hAnsi="Times New Roman"/>
                <w:color w:val="auto"/>
                <w:szCs w:val="22"/>
              </w:rPr>
              <w:tab/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pStyle w:val="871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Т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ип профиля по условиям эксплуатации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универсальный</w:t>
            </w:r>
            <w:r>
              <w:rPr>
                <w:rFonts w:ascii="Times New Roman" w:hAnsi="Times New Roman"/>
                <w:color w:val="auto"/>
                <w:szCs w:val="22"/>
              </w:rPr>
              <w:tab/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pStyle w:val="871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Количество петель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: не менее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3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шт.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pStyle w:val="871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Цвет петель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по согласованию с Заказчиком</w:t>
            </w:r>
            <w:r>
              <w:rPr>
                <w:rFonts w:ascii="Times New Roman" w:hAnsi="Times New Roman"/>
                <w:color w:val="auto"/>
                <w:szCs w:val="22"/>
              </w:rPr>
              <w:tab/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pStyle w:val="871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Фурнитура, замок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: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наличие</w:t>
            </w:r>
            <w:r>
              <w:rPr>
                <w:rFonts w:ascii="Times New Roman" w:hAnsi="Times New Roman"/>
                <w:color w:val="auto"/>
                <w:szCs w:val="22"/>
              </w:rPr>
              <w:tab/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pStyle w:val="871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Н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ажимная ручка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: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наличие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pStyle w:val="871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Arial"/>
                <w:sz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286805" cy="2548128"/>
                      <wp:effectExtent l="0" t="0" r="0" b="0"/>
                      <wp:docPr id="1" name="Image 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Image 5"/>
                              <pic:cNvPicPr/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286805" cy="254812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01.32pt;height:200.64pt;mso-wrap-distance-left:0.00pt;mso-wrap-distance-top:0.00pt;mso-wrap-distance-right:0.00pt;mso-wrap-distance-bottom:0.00pt;" stroked="false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auto"/>
                <w:szCs w:val="22"/>
              </w:rPr>
              <w:tab/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textDirection w:val="lrTb"/>
            <w:noWrap w:val="false"/>
          </w:tcPr>
          <w:p>
            <w:pPr>
              <w:jc w:val="center"/>
              <w:widowControl w:val="off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 xml:space="preserve">шт.</w:t>
            </w:r>
            <w:r>
              <w:rPr>
                <w:bCs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5" w:type="dxa"/>
            <w:textDirection w:val="lrTb"/>
            <w:noWrap w:val="false"/>
          </w:tcPr>
          <w:p>
            <w:pPr>
              <w:jc w:val="center"/>
              <w:widowControl w:val="off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 xml:space="preserve">1</w:t>
            </w:r>
            <w:r>
              <w:rPr>
                <w:bCs/>
                <w:color w:val="auto"/>
                <w:sz w:val="22"/>
                <w:szCs w:val="22"/>
              </w:rPr>
            </w:r>
          </w:p>
        </w:tc>
      </w:tr>
      <w:tr>
        <w:tblPrEx/>
        <w:trPr>
          <w:jc w:val="center"/>
          <w:trHeight w:val="44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textDirection w:val="lrTb"/>
            <w:noWrap w:val="false"/>
          </w:tcPr>
          <w:p>
            <w:pPr>
              <w:pStyle w:val="911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Cs/>
                <w:color w:val="auto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Cs/>
                <w:color w:val="auto"/>
                <w:sz w:val="22"/>
                <w:szCs w:val="22"/>
                <w:lang w:val="en-US"/>
              </w:rPr>
            </w:r>
            <w:r>
              <w:rPr>
                <w:rFonts w:ascii="Times New Roman" w:hAnsi="Times New Roman"/>
                <w:bCs/>
                <w:color w:val="auto"/>
                <w:sz w:val="22"/>
                <w:szCs w:val="22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5" w:type="dxa"/>
            <w:textDirection w:val="lrTb"/>
            <w:noWrap w:val="false"/>
          </w:tcPr>
          <w:p>
            <w:pPr>
              <w:widowControl w:val="off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Блок дверной</w:t>
            </w:r>
            <w:r>
              <w:rPr>
                <w:color w:val="auto"/>
                <w:sz w:val="22"/>
                <w:szCs w:val="22"/>
              </w:rPr>
            </w:r>
          </w:p>
          <w:p>
            <w:pPr>
              <w:widowControl w:val="off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  <w:r>
              <w:rPr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9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Тип двери по месту установки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Межкомнатная (М)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Материал изготовления</w:t>
            </w:r>
            <w:r>
              <w:rPr>
                <w:sz w:val="22"/>
                <w:szCs w:val="22"/>
              </w:rPr>
              <w:t xml:space="preserve">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</w:t>
            </w:r>
            <w:r>
              <w:rPr>
                <w:sz w:val="22"/>
                <w:szCs w:val="22"/>
              </w:rPr>
              <w:t xml:space="preserve">оливинилхлоридный (ПВХ)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Высота дверного полотна</w:t>
            </w:r>
            <w:r>
              <w:rPr>
                <w:sz w:val="22"/>
                <w:szCs w:val="22"/>
              </w:rPr>
              <w:t xml:space="preserve">: не менее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214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см</w:t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Ширина дверного полотна</w:t>
            </w:r>
            <w:r>
              <w:rPr>
                <w:sz w:val="22"/>
                <w:szCs w:val="22"/>
              </w:rPr>
              <w:t xml:space="preserve">: не менее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119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см</w:t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Толщина дверного полотна</w:t>
            </w:r>
            <w:r>
              <w:rPr>
                <w:sz w:val="22"/>
                <w:szCs w:val="22"/>
              </w:rPr>
              <w:t xml:space="preserve">: не менее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см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Тип двери по числу полотен</w:t>
            </w:r>
            <w:r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днопольная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Тип двери по способу открывания</w:t>
            </w:r>
            <w:r>
              <w:rPr>
                <w:sz w:val="22"/>
                <w:szCs w:val="22"/>
              </w:rPr>
              <w:t xml:space="preserve">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вухстворчатая, распашная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Тип двери по наличию остекления</w:t>
            </w:r>
            <w:r>
              <w:rPr>
                <w:sz w:val="22"/>
                <w:szCs w:val="22"/>
              </w:rPr>
              <w:t xml:space="preserve">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г</w:t>
            </w:r>
            <w:r>
              <w:rPr>
                <w:sz w:val="22"/>
                <w:szCs w:val="22"/>
              </w:rPr>
              <w:t xml:space="preserve">лухая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по согласованию с Заказчиком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петель</w:t>
            </w:r>
            <w:r>
              <w:rPr>
                <w:sz w:val="22"/>
                <w:szCs w:val="22"/>
              </w:rPr>
              <w:t xml:space="preserve">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менее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3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шт.</w:t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Фурнитура</w:t>
            </w:r>
            <w:r>
              <w:rPr>
                <w:sz w:val="22"/>
                <w:szCs w:val="22"/>
              </w:rPr>
              <w:t xml:space="preserve">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ез замка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Ручка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скоба</w:t>
            </w:r>
            <w:r>
              <w:rPr>
                <w:sz w:val="22"/>
                <w:szCs w:val="22"/>
              </w:rPr>
              <w:t xml:space="preserve">: наличие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rFonts w:ascii="Arial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03442" cy="2557272"/>
                      <wp:effectExtent l="0" t="0" r="0" b="0"/>
                      <wp:docPr id="2" name="Image 4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3" name="Image 43"/>
                              <pic:cNvPicPr/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03442" cy="255727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118.38pt;height:201.36pt;mso-wrap-distance-left:0.00pt;mso-wrap-distance-top:0.00pt;mso-wrap-distance-right:0.00pt;mso-wrap-distance-bottom:0.00pt;" stroked="false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eastAsia="Liberation Sans"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 xml:space="preserve">шт.</w:t>
            </w:r>
            <w:r>
              <w:rPr>
                <w:rFonts w:eastAsia="Liberation Sans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5" w:type="dxa"/>
            <w:textDirection w:val="lrTb"/>
            <w:noWrap w:val="false"/>
          </w:tcPr>
          <w:p>
            <w:pPr>
              <w:jc w:val="center"/>
              <w:widowControl w:val="off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 xml:space="preserve">1</w:t>
            </w:r>
            <w:r>
              <w:rPr>
                <w:bCs/>
                <w:color w:val="auto"/>
                <w:sz w:val="22"/>
                <w:szCs w:val="22"/>
              </w:rPr>
            </w:r>
          </w:p>
        </w:tc>
      </w:tr>
      <w:tr>
        <w:tblPrEx/>
        <w:trPr>
          <w:jc w:val="center"/>
          <w:trHeight w:val="44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textDirection w:val="lrTb"/>
            <w:noWrap w:val="false"/>
          </w:tcPr>
          <w:p>
            <w:pPr>
              <w:pStyle w:val="911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Cs/>
                <w:color w:val="auto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Cs/>
                <w:color w:val="auto"/>
                <w:sz w:val="22"/>
                <w:szCs w:val="22"/>
                <w:lang w:val="en-US"/>
              </w:rPr>
            </w:r>
            <w:r>
              <w:rPr>
                <w:rFonts w:ascii="Times New Roman" w:hAnsi="Times New Roman"/>
                <w:bCs/>
                <w:color w:val="auto"/>
                <w:sz w:val="22"/>
                <w:szCs w:val="22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5" w:type="dxa"/>
            <w:textDirection w:val="lrTb"/>
            <w:noWrap w:val="false"/>
          </w:tcPr>
          <w:p>
            <w:pPr>
              <w:widowControl w:val="off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Блок дверной</w:t>
            </w:r>
            <w:r>
              <w:rPr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9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Тип двери по месту установки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Межкомнатная (М)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Материал изготовления</w:t>
            </w:r>
            <w:r>
              <w:rPr>
                <w:sz w:val="22"/>
                <w:szCs w:val="22"/>
              </w:rPr>
              <w:t xml:space="preserve">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</w:t>
            </w:r>
            <w:r>
              <w:rPr>
                <w:sz w:val="22"/>
                <w:szCs w:val="22"/>
              </w:rPr>
              <w:t xml:space="preserve">оливинилхлоридный (ПВХ)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Высота дверного полотна</w:t>
            </w:r>
            <w:r>
              <w:rPr>
                <w:sz w:val="22"/>
                <w:szCs w:val="22"/>
              </w:rPr>
              <w:t xml:space="preserve">: не менее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209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см</w:t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Ширина дверного полотна</w:t>
            </w:r>
            <w:r>
              <w:rPr>
                <w:sz w:val="22"/>
                <w:szCs w:val="22"/>
              </w:rPr>
              <w:t xml:space="preserve">: не менее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120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см</w:t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Толщина дверного полотна</w:t>
            </w:r>
            <w:r>
              <w:rPr>
                <w:sz w:val="22"/>
                <w:szCs w:val="22"/>
              </w:rPr>
              <w:t xml:space="preserve">: не менее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см</w:t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Тип двери по числу полотен</w:t>
            </w:r>
            <w:r>
              <w:rPr>
                <w:sz w:val="22"/>
                <w:szCs w:val="22"/>
              </w:rPr>
              <w:t xml:space="preserve">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днопольная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Тип двери по способу открывания</w:t>
            </w:r>
            <w:r>
              <w:rPr>
                <w:sz w:val="22"/>
                <w:szCs w:val="22"/>
              </w:rPr>
              <w:t xml:space="preserve">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вухстворчатая, распашная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Тип двери по наличию остекления</w:t>
            </w:r>
            <w:r>
              <w:rPr>
                <w:sz w:val="22"/>
                <w:szCs w:val="22"/>
              </w:rPr>
              <w:t xml:space="preserve">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г</w:t>
            </w:r>
            <w:r>
              <w:rPr>
                <w:sz w:val="22"/>
                <w:szCs w:val="22"/>
              </w:rPr>
              <w:t xml:space="preserve">лухая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по согласованию с Заказчиком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петель</w:t>
            </w:r>
            <w:r>
              <w:rPr>
                <w:sz w:val="22"/>
                <w:szCs w:val="22"/>
              </w:rPr>
              <w:t xml:space="preserve">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менее </w:t>
            </w:r>
            <w:r>
              <w:rPr>
                <w:sz w:val="22"/>
                <w:szCs w:val="22"/>
              </w:rPr>
              <w:t xml:space="preserve">3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шт.</w:t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Фурнитура, замок</w:t>
            </w:r>
            <w:r>
              <w:rPr>
                <w:sz w:val="22"/>
                <w:szCs w:val="22"/>
              </w:rPr>
              <w:t xml:space="preserve">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отсутствие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Ручка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скоба</w:t>
            </w:r>
            <w:r>
              <w:rPr>
                <w:sz w:val="22"/>
                <w:szCs w:val="22"/>
              </w:rPr>
              <w:t xml:space="preserve">: наличие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rFonts w:ascii="Arial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47340" cy="2557272"/>
                      <wp:effectExtent l="0" t="0" r="0" b="0"/>
                      <wp:docPr id="3" name="Image 4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4" name="Image 44"/>
                              <pic:cNvPicPr/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47340" cy="255727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121.84pt;height:201.36pt;mso-wrap-distance-left:0.00pt;mso-wrap-distance-top:0.00pt;mso-wrap-distance-right:0.00pt;mso-wrap-distance-bottom:0.00pt;" stroked="false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 xml:space="preserve">шт.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</w:p>
        </w:tc>
      </w:tr>
    </w:tbl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color w:val="000000"/>
          <w:sz w:val="24"/>
        </w:rPr>
        <w:t xml:space="preserve">Фотография, макет, эскиз носят информационный характер – допускается изменение внешнего вида по согласованию с Заказчиком.</w:t>
      </w:r>
      <w:r/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sz w:val="22"/>
        </w:rPr>
      </w:r>
    </w:p>
    <w:p>
      <w:pPr>
        <w:pStyle w:val="87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2. </w:t>
      </w:r>
      <w:r>
        <w:rPr>
          <w:rFonts w:ascii="Times New Roman" w:hAnsi="Times New Roman"/>
          <w:b/>
          <w:sz w:val="24"/>
        </w:rPr>
        <w:t xml:space="preserve">Место доставки</w:t>
      </w:r>
      <w:r>
        <w:rPr>
          <w:rFonts w:ascii="Times New Roman" w:hAnsi="Times New Roman"/>
          <w:b/>
          <w:sz w:val="24"/>
        </w:rPr>
        <w:t xml:space="preserve"> и монтажа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товаров: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 xml:space="preserve">Свердловская область, Шалинский район, п.</w:t>
      </w:r>
      <w:r>
        <w:rPr>
          <w:rFonts w:ascii="Times New Roman" w:hAnsi="Times New Roman"/>
          <w:bCs/>
          <w:sz w:val="24"/>
        </w:rPr>
        <w:t xml:space="preserve"> И</w:t>
      </w:r>
      <w:r>
        <w:rPr>
          <w:rFonts w:ascii="Times New Roman" w:hAnsi="Times New Roman"/>
          <w:bCs/>
          <w:sz w:val="24"/>
        </w:rPr>
        <w:t xml:space="preserve">лим, ул. 8 Марта, 13</w:t>
      </w:r>
      <w:r>
        <w:rPr>
          <w:rFonts w:ascii="Times New Roman" w:hAnsi="Times New Roman"/>
          <w:bCs/>
          <w:sz w:val="24"/>
        </w:rPr>
        <w:t xml:space="preserve"> </w:t>
      </w:r>
      <w:r>
        <w:rPr>
          <w:rFonts w:ascii="Times New Roman" w:hAnsi="Times New Roman"/>
          <w:sz w:val="24"/>
        </w:rPr>
      </w:r>
    </w:p>
    <w:p>
      <w:pPr>
        <w:pStyle w:val="87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3. </w:t>
      </w:r>
      <w:r>
        <w:rPr>
          <w:rFonts w:ascii="Times New Roman" w:hAnsi="Times New Roman"/>
          <w:b/>
          <w:sz w:val="24"/>
        </w:rPr>
        <w:t xml:space="preserve">Сроки поставки</w:t>
      </w:r>
      <w:r>
        <w:rPr>
          <w:rFonts w:ascii="Times New Roman" w:hAnsi="Times New Roman"/>
          <w:b/>
          <w:sz w:val="24"/>
        </w:rPr>
        <w:t xml:space="preserve"> и монтажа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товаров: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течение 30 календарных дней </w:t>
      </w:r>
      <w:r>
        <w:rPr>
          <w:rFonts w:ascii="Times New Roman" w:hAnsi="Times New Roman"/>
          <w:sz w:val="24"/>
        </w:rPr>
        <w:t xml:space="preserve">с даты подписания договора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</w:r>
    </w:p>
    <w:p>
      <w:pPr>
        <w:jc w:val="both"/>
        <w:rPr>
          <w:rFonts w:eastAsia="Calibri"/>
          <w:bCs/>
          <w:iCs/>
          <w:color w:val="auto"/>
          <w:sz w:val="24"/>
          <w:szCs w:val="24"/>
          <w:lang w:eastAsia="en-US"/>
        </w:rPr>
      </w:pPr>
      <w:r>
        <w:rPr>
          <w:rFonts w:eastAsia="Calibri"/>
          <w:bCs/>
          <w:iCs/>
          <w:color w:val="auto"/>
          <w:sz w:val="24"/>
          <w:szCs w:val="24"/>
          <w:lang w:eastAsia="en-US"/>
        </w:rPr>
        <w:t xml:space="preserve">3.1. Доставка товара, погрузочно-разгрузочные работы, установка, монтаж производ</w:t>
      </w:r>
      <w:r>
        <w:rPr>
          <w:rFonts w:eastAsia="Calibri"/>
          <w:bCs/>
          <w:iCs/>
          <w:color w:val="auto"/>
          <w:sz w:val="24"/>
          <w:szCs w:val="24"/>
          <w:lang w:eastAsia="en-US"/>
        </w:rPr>
        <w:t xml:space="preserve">я</w:t>
      </w:r>
      <w:r>
        <w:rPr>
          <w:rFonts w:eastAsia="Calibri"/>
          <w:bCs/>
          <w:iCs/>
          <w:color w:val="auto"/>
          <w:sz w:val="24"/>
          <w:szCs w:val="24"/>
          <w:lang w:eastAsia="en-US"/>
        </w:rPr>
        <w:t xml:space="preserve">тся силами Поставщика.</w:t>
      </w:r>
      <w:r>
        <w:rPr>
          <w:rFonts w:eastAsia="Calibri"/>
          <w:bCs/>
          <w:iCs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b/>
          <w:color w:val="auto"/>
          <w:sz w:val="24"/>
          <w:szCs w:val="24"/>
          <w:lang w:eastAsia="en-US"/>
        </w:rPr>
      </w:pPr>
      <w:r>
        <w:rPr>
          <w:rFonts w:eastAsia="Calibri"/>
          <w:b/>
          <w:color w:val="auto"/>
          <w:sz w:val="24"/>
          <w:szCs w:val="24"/>
          <w:lang w:eastAsia="en-US"/>
        </w:rPr>
        <w:t xml:space="preserve">4. Требования к качеству, безопасности поставляемого товара:</w:t>
      </w:r>
      <w:r>
        <w:rPr>
          <w:rFonts w:eastAsia="Calibri"/>
          <w:b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bCs/>
          <w:color w:val="auto"/>
          <w:sz w:val="24"/>
          <w:szCs w:val="24"/>
          <w:lang w:eastAsia="en-US"/>
        </w:rPr>
      </w:pPr>
      <w:r>
        <w:rPr>
          <w:rFonts w:eastAsia="Calibri"/>
          <w:bCs/>
          <w:color w:val="auto"/>
          <w:sz w:val="24"/>
          <w:szCs w:val="24"/>
          <w:lang w:eastAsia="en-US"/>
        </w:rPr>
        <w:t xml:space="preserve">4.1. Поставляемый товар должен соответствовать заданным функциональным и качественным характеристикам; </w:t>
      </w:r>
      <w:r>
        <w:rPr>
          <w:rFonts w:eastAsia="Calibri"/>
          <w:bCs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bCs/>
          <w:color w:val="auto"/>
          <w:sz w:val="24"/>
          <w:szCs w:val="24"/>
          <w:lang w:eastAsia="en-US"/>
        </w:rPr>
      </w:pPr>
      <w:r>
        <w:rPr>
          <w:rFonts w:eastAsia="Calibri"/>
          <w:bCs/>
          <w:color w:val="auto"/>
          <w:sz w:val="24"/>
          <w:szCs w:val="24"/>
          <w:lang w:eastAsia="en-US"/>
        </w:rPr>
        <w:t xml:space="preserve"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</w:t>
      </w:r>
      <w:r>
        <w:rPr>
          <w:rFonts w:eastAsia="Calibri"/>
          <w:bCs/>
          <w:color w:val="auto"/>
          <w:sz w:val="24"/>
          <w:szCs w:val="24"/>
          <w:lang w:eastAsia="en-US"/>
        </w:rPr>
        <w:t xml:space="preserve">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  <w:r>
        <w:rPr>
          <w:rFonts w:eastAsia="Calibri"/>
          <w:bCs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bCs/>
          <w:color w:val="auto"/>
          <w:sz w:val="24"/>
          <w:szCs w:val="24"/>
          <w:lang w:eastAsia="en-US"/>
        </w:rPr>
      </w:pPr>
      <w:r>
        <w:rPr>
          <w:rFonts w:eastAsia="Calibri"/>
          <w:bCs/>
          <w:color w:val="auto"/>
          <w:sz w:val="24"/>
          <w:szCs w:val="24"/>
          <w:lang w:eastAsia="en-US"/>
        </w:rPr>
        <w:t xml:space="preserve"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  <w:r>
        <w:rPr>
          <w:rFonts w:eastAsia="Calibri"/>
          <w:bCs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bCs/>
          <w:color w:val="auto"/>
          <w:sz w:val="24"/>
          <w:szCs w:val="24"/>
          <w:lang w:eastAsia="en-US"/>
        </w:rPr>
      </w:pPr>
      <w:r>
        <w:rPr>
          <w:rFonts w:eastAsia="Calibri"/>
          <w:bCs/>
          <w:color w:val="auto"/>
          <w:sz w:val="24"/>
          <w:szCs w:val="24"/>
          <w:lang w:eastAsia="en-US"/>
        </w:rPr>
        <w:t xml:space="preserve"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  <w:r>
        <w:rPr>
          <w:rFonts w:eastAsia="Calibri"/>
          <w:bCs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bCs/>
          <w:color w:val="auto"/>
          <w:sz w:val="24"/>
          <w:szCs w:val="24"/>
          <w:lang w:eastAsia="en-US"/>
        </w:rPr>
      </w:pPr>
      <w:r>
        <w:rPr>
          <w:rFonts w:eastAsia="Calibri"/>
          <w:bCs/>
          <w:color w:val="auto"/>
          <w:sz w:val="24"/>
          <w:szCs w:val="24"/>
          <w:lang w:eastAsia="en-US"/>
        </w:rPr>
        <w:t xml:space="preserve"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  <w:r>
        <w:rPr>
          <w:rFonts w:eastAsia="Calibri"/>
          <w:bCs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b/>
          <w:color w:val="auto"/>
          <w:sz w:val="24"/>
          <w:szCs w:val="24"/>
          <w:lang w:eastAsia="en-US"/>
        </w:rPr>
      </w:pPr>
      <w:r>
        <w:rPr>
          <w:rFonts w:eastAsia="Calibri"/>
          <w:b/>
          <w:color w:val="auto"/>
          <w:sz w:val="24"/>
          <w:szCs w:val="24"/>
          <w:lang w:eastAsia="en-US"/>
        </w:rPr>
        <w:t xml:space="preserve">5. Требования к упаковке и маркировке поставляемого товара:</w:t>
      </w:r>
      <w:r>
        <w:rPr>
          <w:rFonts w:eastAsia="Calibri"/>
          <w:b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bCs/>
          <w:color w:val="auto"/>
          <w:sz w:val="24"/>
          <w:szCs w:val="24"/>
          <w:lang w:eastAsia="en-US"/>
        </w:rPr>
      </w:pPr>
      <w:r>
        <w:rPr>
          <w:rFonts w:eastAsia="Calibri"/>
          <w:bCs/>
          <w:color w:val="auto"/>
          <w:sz w:val="24"/>
          <w:szCs w:val="24"/>
          <w:lang w:eastAsia="en-US"/>
        </w:rPr>
        <w:t xml:space="preserve">5.1. Товар поставляе</w:t>
      </w:r>
      <w:r>
        <w:rPr>
          <w:rFonts w:eastAsia="Calibri"/>
          <w:bCs/>
          <w:color w:val="auto"/>
          <w:sz w:val="24"/>
          <w:szCs w:val="24"/>
          <w:lang w:eastAsia="en-US"/>
        </w:rPr>
        <w:t xml:space="preserve">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  <w:r>
        <w:rPr>
          <w:rFonts w:eastAsia="Calibri"/>
          <w:bCs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bCs/>
          <w:color w:val="auto"/>
          <w:sz w:val="24"/>
          <w:szCs w:val="24"/>
          <w:lang w:eastAsia="en-US"/>
        </w:rPr>
      </w:pPr>
      <w:r>
        <w:rPr>
          <w:rFonts w:eastAsia="Calibri"/>
          <w:bCs/>
          <w:color w:val="auto"/>
          <w:sz w:val="24"/>
          <w:szCs w:val="24"/>
          <w:lang w:eastAsia="en-US"/>
        </w:rPr>
        <w:t xml:space="preserve">5.2. </w:t>
      </w:r>
      <w:r>
        <w:rPr>
          <w:rFonts w:eastAsia="Calibri"/>
          <w:bCs/>
          <w:color w:val="auto"/>
          <w:sz w:val="24"/>
          <w:szCs w:val="24"/>
          <w:lang w:eastAsia="en-US"/>
        </w:rPr>
        <w:t xml:space="preserve">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  <w:r>
        <w:rPr>
          <w:rFonts w:eastAsia="Calibri"/>
          <w:bCs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bCs/>
          <w:color w:val="auto"/>
          <w:sz w:val="24"/>
          <w:szCs w:val="24"/>
          <w:lang w:eastAsia="en-US"/>
        </w:rPr>
      </w:pPr>
      <w:r>
        <w:rPr>
          <w:rFonts w:eastAsia="Calibri"/>
          <w:bCs/>
          <w:color w:val="auto"/>
          <w:sz w:val="24"/>
          <w:szCs w:val="24"/>
          <w:lang w:eastAsia="en-US"/>
        </w:rPr>
        <w:t xml:space="preserve">5.3. Поставщик несет ответственность за ненадлежащую упаковку, не обеспечивающую сохранность товара при его хранении и транспортировании;</w:t>
      </w:r>
      <w:r>
        <w:rPr>
          <w:rFonts w:eastAsia="Calibri"/>
          <w:bCs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bCs/>
          <w:color w:val="auto"/>
          <w:sz w:val="24"/>
          <w:szCs w:val="24"/>
          <w:lang w:eastAsia="en-US"/>
        </w:rPr>
      </w:pPr>
      <w:r>
        <w:rPr>
          <w:rFonts w:eastAsia="Calibri"/>
          <w:bCs/>
          <w:color w:val="auto"/>
          <w:sz w:val="24"/>
          <w:szCs w:val="24"/>
          <w:lang w:eastAsia="en-US"/>
        </w:rPr>
        <w:t xml:space="preserve">5.4. Упаковка и маркировка товара должна соответствовать требованиям ГОСТ, и</w:t>
      </w:r>
      <w:r>
        <w:rPr>
          <w:rFonts w:eastAsia="Calibri"/>
          <w:bCs/>
          <w:color w:val="auto"/>
          <w:sz w:val="24"/>
          <w:szCs w:val="24"/>
          <w:lang w:eastAsia="en-US"/>
        </w:rPr>
        <w:t xml:space="preserve">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  <w:r>
        <w:rPr>
          <w:rFonts w:eastAsia="Calibri"/>
          <w:bCs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b/>
          <w:color w:val="auto"/>
          <w:sz w:val="24"/>
          <w:szCs w:val="24"/>
          <w:lang w:eastAsia="en-US"/>
        </w:rPr>
      </w:pPr>
      <w:r>
        <w:rPr>
          <w:rFonts w:eastAsia="Calibri"/>
          <w:b/>
          <w:color w:val="auto"/>
          <w:sz w:val="24"/>
          <w:szCs w:val="24"/>
          <w:lang w:eastAsia="en-US"/>
        </w:rPr>
        <w:t xml:space="preserve">6. Требования к условиям поставки товара, отгрузке товара:</w:t>
      </w:r>
      <w:r>
        <w:rPr>
          <w:rFonts w:eastAsia="Calibri"/>
          <w:b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 xml:space="preserve"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  <w:r>
        <w:rPr>
          <w:rFonts w:eastAsia="Calibri"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 xml:space="preserve"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  <w:r>
        <w:rPr>
          <w:rFonts w:eastAsia="Calibri"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 xml:space="preserve"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  <w:r>
        <w:rPr>
          <w:rFonts w:eastAsia="Calibri"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 xml:space="preserve">6.4. Товар должен сопровождаться следующими документами:</w:t>
      </w:r>
      <w:r>
        <w:rPr>
          <w:rFonts w:eastAsia="Calibri"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 xml:space="preserve">– товарная накладная (ТОРГ-12) или УПД (оригиналы);</w:t>
      </w:r>
      <w:r>
        <w:rPr>
          <w:rFonts w:eastAsia="Calibri"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 xml:space="preserve">– счет на оплату (оригиналы);</w:t>
      </w:r>
      <w:r>
        <w:rPr>
          <w:rFonts w:eastAsia="Calibri"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 xml:space="preserve">– счет-фактура или УПД (оригиналы);</w:t>
      </w:r>
      <w:r>
        <w:rPr>
          <w:rFonts w:eastAsia="Calibri"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 xml:space="preserve">– копия сертификата соответствия или декларации соответствия.</w:t>
      </w:r>
      <w:r>
        <w:rPr>
          <w:rFonts w:eastAsia="Calibri"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 xml:space="preserve">6.5. По окончании поставки товара в полном объеме на основании товарно-транспортных накладных Поставщик и Заказчик подписывают акт сверки.</w:t>
      </w:r>
      <w:r>
        <w:rPr>
          <w:rFonts w:eastAsia="Calibri"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bCs/>
          <w:color w:val="auto"/>
          <w:sz w:val="24"/>
          <w:szCs w:val="24"/>
          <w:lang w:eastAsia="en-US"/>
        </w:rPr>
      </w:pPr>
      <w:r>
        <w:rPr>
          <w:rFonts w:eastAsia="Calibri"/>
          <w:bCs/>
          <w:color w:val="auto"/>
          <w:sz w:val="24"/>
          <w:szCs w:val="24"/>
          <w:lang w:eastAsia="en-US"/>
        </w:rPr>
        <w:t xml:space="preserve">6.2. Гарантийные обязательства должны распространяться на каждую единицу товара с момента приемки товара Заказчиком.</w:t>
      </w:r>
      <w:r>
        <w:rPr>
          <w:rFonts w:eastAsia="Calibri"/>
          <w:bCs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bCs/>
          <w:color w:val="auto"/>
          <w:sz w:val="24"/>
          <w:szCs w:val="24"/>
          <w:lang w:eastAsia="en-US"/>
        </w:rPr>
      </w:pPr>
      <w:r>
        <w:rPr>
          <w:rFonts w:eastAsia="Calibri"/>
          <w:bCs/>
          <w:color w:val="auto"/>
          <w:sz w:val="24"/>
          <w:szCs w:val="24"/>
          <w:lang w:eastAsia="en-US"/>
        </w:rPr>
        <w:t xml:space="preserve"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</w:t>
      </w:r>
      <w:r>
        <w:rPr>
          <w:rFonts w:eastAsia="Calibri"/>
          <w:bCs/>
          <w:color w:val="auto"/>
          <w:sz w:val="24"/>
          <w:szCs w:val="24"/>
          <w:lang w:eastAsia="en-US"/>
        </w:rPr>
        <w:t xml:space="preserve">заменить товар на соответствующий, своим транспортом и за свой счет, в сроки, определенные договором.</w:t>
      </w:r>
      <w:r>
        <w:rPr>
          <w:rFonts w:eastAsia="Calibri"/>
          <w:bCs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b/>
          <w:bCs/>
          <w:color w:val="auto"/>
          <w:sz w:val="24"/>
          <w:szCs w:val="24"/>
          <w:lang w:eastAsia="en-US"/>
        </w:rPr>
      </w:pPr>
      <w:r>
        <w:rPr>
          <w:rFonts w:eastAsia="Calibri"/>
          <w:b/>
          <w:bCs/>
          <w:color w:val="auto"/>
          <w:sz w:val="24"/>
          <w:szCs w:val="24"/>
          <w:lang w:eastAsia="en-US"/>
        </w:rPr>
        <w:t xml:space="preserve">7. Порядок выполнения монтажных работ.</w:t>
      </w:r>
      <w:r>
        <w:rPr>
          <w:rFonts w:eastAsia="Calibri"/>
          <w:b/>
          <w:bCs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 xml:space="preserve">7.1. Работы по установке, монтажу пластиковых дверей выполняются в полном объеме силами и за счет Поставщика, материалами и техническими средствами Поставщика и входят в стоимость договора.</w:t>
      </w:r>
      <w:r>
        <w:rPr>
          <w:rFonts w:eastAsia="Calibri"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 xml:space="preserve">7.2. Заделка отверстий и устранение повреждений строительных конструкций, возн</w:t>
      </w:r>
      <w:r>
        <w:rPr>
          <w:rFonts w:eastAsia="Calibri"/>
          <w:color w:val="auto"/>
          <w:sz w:val="24"/>
          <w:szCs w:val="24"/>
          <w:lang w:eastAsia="en-US"/>
        </w:rPr>
        <w:t xml:space="preserve">икающих при установке, монтаже Поставщик производит своими силами и за свой счет. Урон, нанесенный зданию Заказчика, возмещается Поставщиком. Отходы и строительный мусор, накапливаемые в процессе монтажа, подлежат уборке и вывозу Поставщиком и за его счет.</w:t>
      </w:r>
      <w:r>
        <w:rPr>
          <w:rFonts w:eastAsia="Calibri"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b/>
          <w:bCs/>
          <w:color w:val="auto"/>
          <w:sz w:val="24"/>
          <w:szCs w:val="24"/>
          <w:lang w:eastAsia="en-US"/>
        </w:rPr>
      </w:pPr>
      <w:r>
        <w:rPr>
          <w:rFonts w:eastAsia="Calibri"/>
          <w:b/>
          <w:bCs/>
          <w:color w:val="auto"/>
          <w:sz w:val="24"/>
          <w:szCs w:val="24"/>
          <w:lang w:eastAsia="en-US"/>
        </w:rPr>
        <w:t xml:space="preserve">8. Требования к выполнению работы:</w:t>
      </w:r>
      <w:r>
        <w:rPr>
          <w:rFonts w:eastAsia="Calibri"/>
          <w:b/>
          <w:bCs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 xml:space="preserve">8.1. Работы должны производиться только в отведенной зоне работ. Работы должны быть произведены минимальным количеством технических средств и механизмов, что нужно для сокращения шума, пыли, загрязнения воздуха.</w:t>
      </w:r>
      <w:r>
        <w:rPr>
          <w:rFonts w:eastAsia="Calibri"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 xml:space="preserve">8.2. Поставщик обязан соблюдать технологию и последовательность выполнения работ в соответствии с действующими нормами и правилами на данные виды работ.</w:t>
      </w:r>
      <w:r>
        <w:rPr>
          <w:rFonts w:eastAsia="Calibri"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 xml:space="preserve">8.3. До начала производства</w:t>
      </w:r>
      <w:r>
        <w:rPr>
          <w:rFonts w:eastAsia="Calibri"/>
          <w:color w:val="auto"/>
          <w:sz w:val="24"/>
          <w:szCs w:val="24"/>
          <w:lang w:eastAsia="en-US"/>
        </w:rPr>
        <w:t xml:space="preserve"> работ должен быть назначен ответственный за организацию производства монтажных работ на объекте, их качество, соблюдение правил и требований СНиП и технических регламентов, а также ответственные по объекту за пожарную безопасность и технику безопасности. </w:t>
      </w:r>
      <w:r>
        <w:rPr>
          <w:rFonts w:eastAsia="Calibri"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 xml:space="preserve">8.4. Закупка, доставка, разгрузка, складирование материалов и другого имущества осуществляется силами Поставщика. Места складирования согласовывают с Заказчиком.</w:t>
      </w:r>
      <w:r>
        <w:rPr>
          <w:rFonts w:eastAsia="Calibri"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b/>
          <w:bCs/>
          <w:color w:val="auto"/>
          <w:sz w:val="24"/>
          <w:szCs w:val="24"/>
          <w:lang w:eastAsia="en-US"/>
        </w:rPr>
      </w:pPr>
      <w:r>
        <w:rPr>
          <w:rFonts w:eastAsia="Calibri"/>
          <w:b/>
          <w:bCs/>
          <w:color w:val="auto"/>
          <w:sz w:val="24"/>
          <w:szCs w:val="24"/>
          <w:lang w:eastAsia="en-US"/>
        </w:rPr>
        <w:t xml:space="preserve">9. Требования к безопасности выполняемых работ:</w:t>
      </w:r>
      <w:r>
        <w:rPr>
          <w:rFonts w:eastAsia="Calibri"/>
          <w:b/>
          <w:bCs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 xml:space="preserve">9.1. Обеспечить контроль своих действий в целях сохранения здоровья, создания безопасных условий труда, создание безопасных условий окружающим, сбережения окружающей среды, безопасности работающих.</w:t>
      </w:r>
      <w:r>
        <w:rPr>
          <w:rFonts w:eastAsia="Calibri"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 xml:space="preserve">9.2. Обеспечить необходимые противопожарные мероприятия, мероприятия по технике безопасности во время выполнения работ.</w:t>
      </w:r>
      <w:r>
        <w:rPr>
          <w:rFonts w:eastAsia="Calibri"/>
          <w:color w:val="auto"/>
          <w:sz w:val="24"/>
          <w:szCs w:val="24"/>
          <w:lang w:eastAsia="en-US"/>
        </w:rPr>
      </w:r>
    </w:p>
    <w:p>
      <w:pPr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 xml:space="preserve">9.3. Обеспечить безопасность работ для третьих лиц и окружающей среды, выполнять работы с соблюдением требований безопасности труда, норм пожарной безопасности.</w:t>
      </w:r>
      <w:r>
        <w:rPr>
          <w:rFonts w:eastAsia="Calibri"/>
          <w:color w:val="auto"/>
          <w:sz w:val="24"/>
          <w:szCs w:val="24"/>
          <w:lang w:eastAsia="en-US"/>
        </w:rPr>
      </w:r>
    </w:p>
    <w:p>
      <w:pPr>
        <w:jc w:val="both"/>
        <w:rPr>
          <w:color w:val="0070c0"/>
          <w:sz w:val="24"/>
        </w:rPr>
      </w:pPr>
      <w:r>
        <w:rPr>
          <w:color w:val="0070c0"/>
          <w:sz w:val="24"/>
        </w:rPr>
      </w:r>
      <w:r>
        <w:rPr>
          <w:color w:val="0070c0"/>
          <w:sz w:val="24"/>
        </w:rPr>
      </w:r>
    </w:p>
    <w:sectPr>
      <w:footnotePr/>
      <w:endnotePr/>
      <w:type w:val="nextPage"/>
      <w:pgSz w:w="11906" w:h="16838" w:orient="portrait"/>
      <w:pgMar w:top="720" w:right="991" w:bottom="720" w:left="720" w:header="0" w:footer="0" w:gutter="0"/>
      <w:cols w:num="1" w:sep="0" w:space="720" w:equalWidth="1"/>
      <w:docGrid w:linePitch="360"/>
    </w:sectPr>
    <!-- MKR-14500 -->
    <w:p>
      <w:r>
        <w:t>​​﻿​⁠﻿‍‍⁠​‍﻿‍⁠​﻿⁠​⁠​﻿​‍‌​‍⁠⁠​‌⁠⁠‍‍‌⁠⁠‌‌⁠‌‌‍‍</w:t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 Symbol">
    <w:panose1 w:val="020B0502040504020204"/>
  </w:font>
  <w:font w:name="Symbol">
    <w:panose1 w:val="05010000000000000000"/>
  </w:font>
  <w:font w:name="Open Sans">
    <w:panose1 w:val="020B0606030504020204"/>
  </w:font>
  <w:font w:name="Courier New">
    <w:panose1 w:val="02070309020205020404"/>
  </w:font>
  <w:font w:name="OpenSymbol">
    <w:panose1 w:val="05010000000000000000"/>
  </w:font>
  <w:font w:name="Tahoma">
    <w:panose1 w:val="020B0604030504040204"/>
  </w:font>
  <w:font w:name="Arial">
    <w:panose1 w:val="020B0604020202020204"/>
  </w:font>
  <w:font w:name="XO Thames">
    <w:panose1 w:val="020B0809030403020204"/>
  </w:font>
  <w:font w:name="Wingdings">
    <w:panose1 w:val="05010000000000000000"/>
  </w:font>
  <w:font w:name="Liberation Sans">
    <w:panose1 w:val="020B0604020202020204"/>
  </w:font>
  <w:font w:name="Iosevka Term SS03">
    <w:panose1 w:val="020B0809030403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0" w:firstLine="0"/>
        <w:tabs>
          <w:tab w:val="left" w:pos="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418" w:hanging="283"/>
        <w:tabs>
          <w:tab w:val="left" w:pos="1418" w:leader="none"/>
        </w:tabs>
      </w:pPr>
      <w:rPr>
        <w:rFonts w:ascii="Symbol" w:hAnsi="Symbol"/>
      </w:rPr>
    </w:lvl>
    <w:lvl w:ilvl="2">
      <w:start w:val="1"/>
      <w:numFmt w:val="bullet"/>
      <w:isLgl w:val="false"/>
      <w:suff w:val="tab"/>
      <w:lvlText w:val=""/>
      <w:lvlJc w:val="left"/>
      <w:pPr>
        <w:ind w:left="2127" w:hanging="283"/>
        <w:tabs>
          <w:tab w:val="left" w:pos="2127" w:leader="none"/>
        </w:tabs>
      </w:pPr>
      <w:rPr>
        <w:rFonts w:ascii="Symbol" w:hAnsi="Symbol"/>
      </w:rPr>
    </w:lvl>
    <w:lvl w:ilvl="3">
      <w:start w:val="1"/>
      <w:numFmt w:val="bullet"/>
      <w:isLgl w:val="false"/>
      <w:suff w:val="tab"/>
      <w:lvlText w:val=""/>
      <w:lvlJc w:val="left"/>
      <w:pPr>
        <w:ind w:left="2836" w:hanging="283"/>
        <w:tabs>
          <w:tab w:val="left" w:pos="2836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"/>
      <w:lvlJc w:val="left"/>
      <w:pPr>
        <w:ind w:left="3545" w:hanging="283"/>
        <w:tabs>
          <w:tab w:val="left" w:pos="3545" w:leader="none"/>
        </w:tabs>
      </w:pPr>
      <w:rPr>
        <w:rFonts w:ascii="Symbol" w:hAnsi="Symbol"/>
      </w:rPr>
    </w:lvl>
    <w:lvl w:ilvl="5">
      <w:start w:val="1"/>
      <w:numFmt w:val="bullet"/>
      <w:isLgl w:val="false"/>
      <w:suff w:val="tab"/>
      <w:lvlText w:val=""/>
      <w:lvlJc w:val="left"/>
      <w:pPr>
        <w:ind w:left="4254" w:hanging="283"/>
        <w:tabs>
          <w:tab w:val="left" w:pos="4254" w:leader="none"/>
        </w:tabs>
      </w:pPr>
      <w:rPr>
        <w:rFonts w:ascii="Symbol" w:hAnsi="Symbol"/>
      </w:rPr>
    </w:lvl>
    <w:lvl w:ilvl="6">
      <w:start w:val="1"/>
      <w:numFmt w:val="bullet"/>
      <w:isLgl w:val="false"/>
      <w:suff w:val="tab"/>
      <w:lvlText w:val=""/>
      <w:lvlJc w:val="left"/>
      <w:pPr>
        <w:ind w:left="4963" w:hanging="283"/>
        <w:tabs>
          <w:tab w:val="left" w:pos="4963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"/>
      <w:lvlJc w:val="left"/>
      <w:pPr>
        <w:ind w:left="5672" w:hanging="283"/>
        <w:tabs>
          <w:tab w:val="left" w:pos="5672" w:leader="none"/>
        </w:tabs>
      </w:pPr>
      <w:rPr>
        <w:rFonts w:ascii="Symbol" w:hAnsi="Symbol"/>
      </w:rPr>
    </w:lvl>
    <w:lvl w:ilvl="8">
      <w:start w:val="1"/>
      <w:numFmt w:val="bullet"/>
      <w:isLgl w:val="false"/>
      <w:suff w:val="tab"/>
      <w:lvlText w:val=""/>
      <w:lvlJc w:val="left"/>
      <w:pPr>
        <w:ind w:left="6381" w:hanging="283"/>
        <w:tabs>
          <w:tab w:val="left" w:pos="6381" w:leader="none"/>
        </w:tabs>
      </w:pPr>
      <w:rPr>
        <w:rFonts w:ascii="Symbol" w:hAnsi="Symbol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10"/>
  </w:num>
  <w:num w:numId="5">
    <w:abstractNumId w:val="12"/>
  </w:num>
  <w:num w:numId="6">
    <w:abstractNumId w:val="4"/>
  </w:num>
  <w:num w:numId="7">
    <w:abstractNumId w:val="8"/>
  </w:num>
  <w:num w:numId="8">
    <w:abstractNumId w:val="6"/>
  </w:num>
  <w:num w:numId="9">
    <w:abstractNumId w:val="9"/>
  </w:num>
  <w:num w:numId="10">
    <w:abstractNumId w:val="0"/>
  </w:num>
  <w:num w:numId="11">
    <w:abstractNumId w:val="3"/>
  </w:num>
  <w:num w:numId="12">
    <w:abstractNumId w:val="1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25">
    <w:name w:val="Heading 6 Char"/>
    <w:basedOn w:val="690"/>
    <w:link w:val="68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690"/>
    <w:link w:val="68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690"/>
    <w:link w:val="68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690"/>
    <w:link w:val="68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40">
    <w:name w:val="Quote Char"/>
    <w:link w:val="704"/>
    <w:uiPriority w:val="29"/>
    <w:rPr>
      <w:i/>
    </w:rPr>
  </w:style>
  <w:style w:type="character" w:styleId="42">
    <w:name w:val="Intense Quote Char"/>
    <w:link w:val="706"/>
    <w:uiPriority w:val="30"/>
    <w:rPr>
      <w:i/>
    </w:rPr>
  </w:style>
  <w:style w:type="character" w:styleId="44">
    <w:name w:val="Header Char"/>
    <w:basedOn w:val="690"/>
    <w:link w:val="708"/>
    <w:uiPriority w:val="99"/>
  </w:style>
  <w:style w:type="character" w:styleId="48">
    <w:name w:val="Caption Char"/>
    <w:basedOn w:val="690"/>
    <w:link w:val="857"/>
    <w:uiPriority w:val="35"/>
    <w:rPr>
      <w:b/>
      <w:bCs/>
      <w:color w:val="4f81bd" w:themeColor="accent1"/>
      <w:sz w:val="18"/>
      <w:szCs w:val="18"/>
    </w:rPr>
  </w:style>
  <w:style w:type="character" w:styleId="177">
    <w:name w:val="Footnote Text Char"/>
    <w:link w:val="838"/>
    <w:uiPriority w:val="99"/>
    <w:rPr>
      <w:sz w:val="18"/>
    </w:rPr>
  </w:style>
  <w:style w:type="character" w:styleId="180">
    <w:name w:val="Endnote Text Char"/>
    <w:link w:val="841"/>
    <w:uiPriority w:val="99"/>
    <w:rPr>
      <w:sz w:val="20"/>
    </w:rPr>
  </w:style>
  <w:style w:type="paragraph" w:styleId="680" w:default="1">
    <w:name w:val="Normal"/>
    <w:qFormat/>
    <w:rPr>
      <w:rFonts w:ascii="Times New Roman" w:hAnsi="Times New Roman"/>
      <w:sz w:val="20"/>
    </w:rPr>
  </w:style>
  <w:style w:type="paragraph" w:styleId="681">
    <w:name w:val="Heading 1"/>
    <w:basedOn w:val="680"/>
    <w:next w:val="680"/>
    <w:link w:val="888"/>
    <w:uiPriority w:val="9"/>
    <w:qFormat/>
    <w:pPr>
      <w:keepLines/>
      <w:keepNext/>
      <w:spacing w:before="480"/>
      <w:outlineLvl w:val="0"/>
    </w:pPr>
    <w:rPr>
      <w:rFonts w:asciiTheme="majorHAnsi" w:hAnsiTheme="majorHAnsi"/>
      <w:b/>
      <w:color w:val="2e74b5" w:themeColor="accent1" w:themeShade="BF"/>
      <w:sz w:val="28"/>
    </w:rPr>
  </w:style>
  <w:style w:type="paragraph" w:styleId="682">
    <w:name w:val="Heading 2"/>
    <w:basedOn w:val="680"/>
    <w:link w:val="926"/>
    <w:uiPriority w:val="9"/>
    <w:qFormat/>
    <w:pPr>
      <w:spacing w:beforeAutospacing="1" w:afterAutospacing="1"/>
      <w:outlineLvl w:val="1"/>
    </w:pPr>
    <w:rPr>
      <w:b/>
      <w:sz w:val="36"/>
    </w:rPr>
  </w:style>
  <w:style w:type="paragraph" w:styleId="683">
    <w:name w:val="Heading 3"/>
    <w:basedOn w:val="680"/>
    <w:link w:val="869"/>
    <w:uiPriority w:val="9"/>
    <w:qFormat/>
    <w:pPr>
      <w:spacing w:beforeAutospacing="1" w:afterAutospacing="1"/>
      <w:outlineLvl w:val="2"/>
    </w:pPr>
    <w:rPr>
      <w:b/>
      <w:sz w:val="27"/>
    </w:rPr>
  </w:style>
  <w:style w:type="paragraph" w:styleId="684">
    <w:name w:val="Heading 4"/>
    <w:next w:val="680"/>
    <w:link w:val="923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685">
    <w:name w:val="Heading 5"/>
    <w:next w:val="680"/>
    <w:link w:val="887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paragraph" w:styleId="686">
    <w:name w:val="Heading 6"/>
    <w:basedOn w:val="680"/>
    <w:next w:val="680"/>
    <w:link w:val="69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87">
    <w:name w:val="Heading 7"/>
    <w:basedOn w:val="680"/>
    <w:next w:val="680"/>
    <w:link w:val="69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8">
    <w:name w:val="Heading 8"/>
    <w:basedOn w:val="680"/>
    <w:next w:val="680"/>
    <w:link w:val="70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9">
    <w:name w:val="Heading 9"/>
    <w:basedOn w:val="680"/>
    <w:next w:val="680"/>
    <w:link w:val="70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0" w:default="1">
    <w:name w:val="Default Paragraph Font"/>
    <w:uiPriority w:val="1"/>
    <w:unhideWhenUsed/>
  </w:style>
  <w:style w:type="table" w:styleId="69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2" w:default="1">
    <w:name w:val="No List"/>
    <w:uiPriority w:val="99"/>
    <w:semiHidden/>
    <w:unhideWhenUsed/>
  </w:style>
  <w:style w:type="character" w:styleId="693" w:customStyle="1">
    <w:name w:val="Heading 1 Char"/>
    <w:basedOn w:val="690"/>
    <w:uiPriority w:val="9"/>
    <w:rPr>
      <w:rFonts w:ascii="Arial" w:hAnsi="Arial" w:eastAsia="Arial" w:cs="Arial"/>
      <w:sz w:val="40"/>
      <w:szCs w:val="40"/>
    </w:rPr>
  </w:style>
  <w:style w:type="character" w:styleId="694" w:customStyle="1">
    <w:name w:val="Heading 2 Char"/>
    <w:basedOn w:val="690"/>
    <w:uiPriority w:val="9"/>
    <w:rPr>
      <w:rFonts w:ascii="Arial" w:hAnsi="Arial" w:eastAsia="Arial" w:cs="Arial"/>
      <w:sz w:val="34"/>
    </w:rPr>
  </w:style>
  <w:style w:type="character" w:styleId="695" w:customStyle="1">
    <w:name w:val="Heading 3 Char"/>
    <w:basedOn w:val="690"/>
    <w:uiPriority w:val="9"/>
    <w:rPr>
      <w:rFonts w:ascii="Arial" w:hAnsi="Arial" w:eastAsia="Arial" w:cs="Arial"/>
      <w:sz w:val="30"/>
      <w:szCs w:val="30"/>
    </w:rPr>
  </w:style>
  <w:style w:type="character" w:styleId="696" w:customStyle="1">
    <w:name w:val="Heading 4 Char"/>
    <w:basedOn w:val="690"/>
    <w:uiPriority w:val="9"/>
    <w:rPr>
      <w:rFonts w:ascii="Arial" w:hAnsi="Arial" w:eastAsia="Arial" w:cs="Arial"/>
      <w:b/>
      <w:bCs/>
      <w:sz w:val="26"/>
      <w:szCs w:val="26"/>
    </w:rPr>
  </w:style>
  <w:style w:type="character" w:styleId="697" w:customStyle="1">
    <w:name w:val="Heading 5 Char"/>
    <w:basedOn w:val="690"/>
    <w:uiPriority w:val="9"/>
    <w:rPr>
      <w:rFonts w:ascii="Arial" w:hAnsi="Arial" w:eastAsia="Arial" w:cs="Arial"/>
      <w:b/>
      <w:bCs/>
      <w:sz w:val="24"/>
      <w:szCs w:val="24"/>
    </w:rPr>
  </w:style>
  <w:style w:type="character" w:styleId="698" w:customStyle="1">
    <w:name w:val="Заголовок 6 Знак"/>
    <w:basedOn w:val="690"/>
    <w:link w:val="686"/>
    <w:uiPriority w:val="9"/>
    <w:rPr>
      <w:rFonts w:ascii="Arial" w:hAnsi="Arial" w:eastAsia="Arial" w:cs="Arial"/>
      <w:b/>
      <w:bCs/>
      <w:sz w:val="22"/>
      <w:szCs w:val="22"/>
    </w:rPr>
  </w:style>
  <w:style w:type="character" w:styleId="699" w:customStyle="1">
    <w:name w:val="Заголовок 7 Знак"/>
    <w:basedOn w:val="690"/>
    <w:link w:val="68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0" w:customStyle="1">
    <w:name w:val="Заголовок 8 Знак"/>
    <w:basedOn w:val="690"/>
    <w:link w:val="688"/>
    <w:uiPriority w:val="9"/>
    <w:rPr>
      <w:rFonts w:ascii="Arial" w:hAnsi="Arial" w:eastAsia="Arial" w:cs="Arial"/>
      <w:i/>
      <w:iCs/>
      <w:sz w:val="22"/>
      <w:szCs w:val="22"/>
    </w:rPr>
  </w:style>
  <w:style w:type="character" w:styleId="701" w:customStyle="1">
    <w:name w:val="Заголовок 9 Знак"/>
    <w:basedOn w:val="690"/>
    <w:link w:val="689"/>
    <w:uiPriority w:val="9"/>
    <w:rPr>
      <w:rFonts w:ascii="Arial" w:hAnsi="Arial" w:eastAsia="Arial" w:cs="Arial"/>
      <w:i/>
      <w:iCs/>
      <w:sz w:val="21"/>
      <w:szCs w:val="21"/>
    </w:rPr>
  </w:style>
  <w:style w:type="character" w:styleId="702" w:customStyle="1">
    <w:name w:val="Title Char"/>
    <w:basedOn w:val="690"/>
    <w:uiPriority w:val="10"/>
    <w:rPr>
      <w:sz w:val="48"/>
      <w:szCs w:val="48"/>
    </w:rPr>
  </w:style>
  <w:style w:type="character" w:styleId="703" w:customStyle="1">
    <w:name w:val="Subtitle Char"/>
    <w:basedOn w:val="690"/>
    <w:uiPriority w:val="11"/>
    <w:rPr>
      <w:sz w:val="24"/>
      <w:szCs w:val="24"/>
    </w:rPr>
  </w:style>
  <w:style w:type="paragraph" w:styleId="704">
    <w:name w:val="Quote"/>
    <w:basedOn w:val="680"/>
    <w:next w:val="680"/>
    <w:link w:val="705"/>
    <w:uiPriority w:val="29"/>
    <w:qFormat/>
    <w:pPr>
      <w:ind w:left="720" w:right="720"/>
    </w:pPr>
    <w:rPr>
      <w:i/>
    </w:rPr>
  </w:style>
  <w:style w:type="character" w:styleId="705" w:customStyle="1">
    <w:name w:val="Цитата 2 Знак"/>
    <w:link w:val="704"/>
    <w:uiPriority w:val="29"/>
    <w:rPr>
      <w:i/>
    </w:rPr>
  </w:style>
  <w:style w:type="paragraph" w:styleId="706">
    <w:name w:val="Intense Quote"/>
    <w:basedOn w:val="680"/>
    <w:next w:val="680"/>
    <w:link w:val="70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7" w:customStyle="1">
    <w:name w:val="Выделенная цитата Знак"/>
    <w:link w:val="706"/>
    <w:uiPriority w:val="30"/>
    <w:rPr>
      <w:i/>
    </w:rPr>
  </w:style>
  <w:style w:type="paragraph" w:styleId="708">
    <w:name w:val="Header"/>
    <w:basedOn w:val="680"/>
    <w:link w:val="709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9" w:customStyle="1">
    <w:name w:val="Верхний колонтитул Знак"/>
    <w:basedOn w:val="690"/>
    <w:link w:val="708"/>
    <w:uiPriority w:val="99"/>
  </w:style>
  <w:style w:type="paragraph" w:styleId="710">
    <w:name w:val="Footer"/>
    <w:basedOn w:val="680"/>
    <w:link w:val="712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11" w:customStyle="1">
    <w:name w:val="Footer Char"/>
    <w:basedOn w:val="690"/>
    <w:uiPriority w:val="99"/>
  </w:style>
  <w:style w:type="character" w:styleId="712" w:customStyle="1">
    <w:name w:val="Нижний колонтитул Знак"/>
    <w:link w:val="710"/>
    <w:uiPriority w:val="99"/>
  </w:style>
  <w:style w:type="table" w:styleId="713" w:customStyle="1">
    <w:name w:val="Table Grid Light"/>
    <w:basedOn w:val="69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4">
    <w:name w:val="Plain Table 1"/>
    <w:basedOn w:val="69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2"/>
    <w:basedOn w:val="69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6">
    <w:name w:val="Plain Table 3"/>
    <w:basedOn w:val="69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7">
    <w:name w:val="Plain Table 4"/>
    <w:basedOn w:val="69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Plain Table 5"/>
    <w:basedOn w:val="69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9">
    <w:name w:val="Grid Table 1 Light"/>
    <w:basedOn w:val="69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1"/>
    <w:basedOn w:val="691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2"/>
    <w:basedOn w:val="69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3"/>
    <w:basedOn w:val="69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4"/>
    <w:basedOn w:val="69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5"/>
    <w:basedOn w:val="691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6"/>
    <w:basedOn w:val="69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2"/>
    <w:basedOn w:val="69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1"/>
    <w:basedOn w:val="691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2"/>
    <w:basedOn w:val="69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3"/>
    <w:basedOn w:val="69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4"/>
    <w:basedOn w:val="69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5"/>
    <w:basedOn w:val="691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6"/>
    <w:basedOn w:val="69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"/>
    <w:basedOn w:val="69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1"/>
    <w:basedOn w:val="691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2"/>
    <w:basedOn w:val="69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3"/>
    <w:basedOn w:val="69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4"/>
    <w:basedOn w:val="69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5"/>
    <w:basedOn w:val="691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6"/>
    <w:basedOn w:val="69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4"/>
    <w:basedOn w:val="69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1" w:customStyle="1">
    <w:name w:val="Grid Table 4 - Accent 1"/>
    <w:basedOn w:val="691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2" w:customStyle="1">
    <w:name w:val="Grid Table 4 - Accent 2"/>
    <w:basedOn w:val="691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3" w:customStyle="1">
    <w:name w:val="Grid Table 4 - Accent 3"/>
    <w:basedOn w:val="691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4" w:customStyle="1">
    <w:name w:val="Grid Table 4 - Accent 4"/>
    <w:basedOn w:val="691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5" w:customStyle="1">
    <w:name w:val="Grid Table 4 - Accent 5"/>
    <w:basedOn w:val="691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6" w:customStyle="1">
    <w:name w:val="Grid Table 4 - Accent 6"/>
    <w:basedOn w:val="691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7">
    <w:name w:val="Grid Table 5 Dark"/>
    <w:basedOn w:val="69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- Accent 1"/>
    <w:basedOn w:val="69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2"/>
    <w:basedOn w:val="69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3"/>
    <w:basedOn w:val="69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- Accent 4"/>
    <w:basedOn w:val="69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5"/>
    <w:basedOn w:val="69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6"/>
    <w:basedOn w:val="69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4">
    <w:name w:val="Grid Table 6 Colorful"/>
    <w:basedOn w:val="69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5" w:customStyle="1">
    <w:name w:val="Grid Table 6 Colorful - Accent 1"/>
    <w:basedOn w:val="691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6" w:customStyle="1">
    <w:name w:val="Grid Table 6 Colorful - Accent 2"/>
    <w:basedOn w:val="69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7" w:customStyle="1">
    <w:name w:val="Grid Table 6 Colorful - Accent 3"/>
    <w:basedOn w:val="691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8" w:customStyle="1">
    <w:name w:val="Grid Table 6 Colorful - Accent 4"/>
    <w:basedOn w:val="69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9" w:customStyle="1">
    <w:name w:val="Grid Table 6 Colorful - Accent 5"/>
    <w:basedOn w:val="691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0" w:customStyle="1">
    <w:name w:val="Grid Table 6 Colorful - Accent 6"/>
    <w:basedOn w:val="691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1">
    <w:name w:val="Grid Table 7 Colorful"/>
    <w:basedOn w:val="69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7 Colorful - Accent 1"/>
    <w:basedOn w:val="691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7 Colorful - Accent 2"/>
    <w:basedOn w:val="691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7 Colorful - Accent 3"/>
    <w:basedOn w:val="691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7 Colorful - Accent 4"/>
    <w:basedOn w:val="691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7 Colorful - Accent 5"/>
    <w:basedOn w:val="691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7 Colorful - Accent 6"/>
    <w:basedOn w:val="691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"/>
    <w:basedOn w:val="69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1"/>
    <w:basedOn w:val="691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2"/>
    <w:basedOn w:val="691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3"/>
    <w:basedOn w:val="691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4"/>
    <w:basedOn w:val="691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5"/>
    <w:basedOn w:val="691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6"/>
    <w:basedOn w:val="691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2"/>
    <w:basedOn w:val="69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1"/>
    <w:basedOn w:val="691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2"/>
    <w:basedOn w:val="691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3"/>
    <w:basedOn w:val="691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4"/>
    <w:basedOn w:val="691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5"/>
    <w:basedOn w:val="691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6"/>
    <w:basedOn w:val="691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2">
    <w:name w:val="List Table 3"/>
    <w:basedOn w:val="69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1"/>
    <w:basedOn w:val="691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2"/>
    <w:basedOn w:val="69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3"/>
    <w:basedOn w:val="691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4"/>
    <w:basedOn w:val="69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5"/>
    <w:basedOn w:val="691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6"/>
    <w:basedOn w:val="691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"/>
    <w:basedOn w:val="69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1"/>
    <w:basedOn w:val="691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2"/>
    <w:basedOn w:val="691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3"/>
    <w:basedOn w:val="691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4"/>
    <w:basedOn w:val="691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5"/>
    <w:basedOn w:val="691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6"/>
    <w:basedOn w:val="691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5 Dark"/>
    <w:basedOn w:val="69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1"/>
    <w:basedOn w:val="691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2"/>
    <w:basedOn w:val="691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3"/>
    <w:basedOn w:val="691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4"/>
    <w:basedOn w:val="691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5"/>
    <w:basedOn w:val="691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6"/>
    <w:basedOn w:val="691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>
    <w:name w:val="List Table 6 Colorful"/>
    <w:basedOn w:val="69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4" w:customStyle="1">
    <w:name w:val="List Table 6 Colorful - Accent 1"/>
    <w:basedOn w:val="691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5" w:customStyle="1">
    <w:name w:val="List Table 6 Colorful - Accent 2"/>
    <w:basedOn w:val="691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6" w:customStyle="1">
    <w:name w:val="List Table 6 Colorful - Accent 3"/>
    <w:basedOn w:val="691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7" w:customStyle="1">
    <w:name w:val="List Table 6 Colorful - Accent 4"/>
    <w:basedOn w:val="691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8" w:customStyle="1">
    <w:name w:val="List Table 6 Colorful - Accent 5"/>
    <w:basedOn w:val="691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09" w:customStyle="1">
    <w:name w:val="List Table 6 Colorful - Accent 6"/>
    <w:basedOn w:val="691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0">
    <w:name w:val="List Table 7 Colorful"/>
    <w:basedOn w:val="69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7 Colorful - Accent 1"/>
    <w:basedOn w:val="691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7 Colorful - Accent 2"/>
    <w:basedOn w:val="691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7 Colorful - Accent 3"/>
    <w:basedOn w:val="691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7 Colorful - Accent 4"/>
    <w:basedOn w:val="691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7 Colorful - Accent 5"/>
    <w:basedOn w:val="691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7 Colorful - Accent 6"/>
    <w:basedOn w:val="691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ned - Accent"/>
    <w:basedOn w:val="691"/>
    <w:uiPriority w:val="99"/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8" w:customStyle="1">
    <w:name w:val="Lined - Accent 1"/>
    <w:basedOn w:val="691"/>
    <w:uiPriority w:val="99"/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9" w:customStyle="1">
    <w:name w:val="Lined - Accent 2"/>
    <w:basedOn w:val="691"/>
    <w:uiPriority w:val="99"/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0" w:customStyle="1">
    <w:name w:val="Lined - Accent 3"/>
    <w:basedOn w:val="691"/>
    <w:uiPriority w:val="99"/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1" w:customStyle="1">
    <w:name w:val="Lined - Accent 4"/>
    <w:basedOn w:val="691"/>
    <w:uiPriority w:val="99"/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2" w:customStyle="1">
    <w:name w:val="Lined - Accent 5"/>
    <w:basedOn w:val="691"/>
    <w:uiPriority w:val="99"/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3" w:customStyle="1">
    <w:name w:val="Lined - Accent 6"/>
    <w:basedOn w:val="691"/>
    <w:uiPriority w:val="99"/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4" w:customStyle="1">
    <w:name w:val="Bordered &amp; Lined - Accent"/>
    <w:basedOn w:val="691"/>
    <w:uiPriority w:val="99"/>
    <w:rPr>
      <w:color w:val="404040"/>
      <w:sz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5" w:customStyle="1">
    <w:name w:val="Bordered &amp; Lined - Accent 1"/>
    <w:basedOn w:val="691"/>
    <w:uiPriority w:val="99"/>
    <w:rPr>
      <w:color w:val="404040"/>
      <w:sz w:val="2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6" w:customStyle="1">
    <w:name w:val="Bordered &amp; Lined - Accent 2"/>
    <w:basedOn w:val="691"/>
    <w:uiPriority w:val="99"/>
    <w:rPr>
      <w:color w:val="404040"/>
      <w:sz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7" w:customStyle="1">
    <w:name w:val="Bordered &amp; Lined - Accent 3"/>
    <w:basedOn w:val="691"/>
    <w:uiPriority w:val="99"/>
    <w:rPr>
      <w:color w:val="404040"/>
      <w:sz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8" w:customStyle="1">
    <w:name w:val="Bordered &amp; Lined - Accent 4"/>
    <w:basedOn w:val="691"/>
    <w:uiPriority w:val="99"/>
    <w:rPr>
      <w:color w:val="404040"/>
      <w:sz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9" w:customStyle="1">
    <w:name w:val="Bordered &amp; Lined - Accent 5"/>
    <w:basedOn w:val="691"/>
    <w:uiPriority w:val="99"/>
    <w:rPr>
      <w:color w:val="404040"/>
      <w:sz w:val="2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0" w:customStyle="1">
    <w:name w:val="Bordered &amp; Lined - Accent 6"/>
    <w:basedOn w:val="691"/>
    <w:uiPriority w:val="99"/>
    <w:rPr>
      <w:color w:val="404040"/>
      <w:sz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1" w:customStyle="1">
    <w:name w:val="Bordered"/>
    <w:basedOn w:val="69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2" w:customStyle="1">
    <w:name w:val="Bordered - Accent 1"/>
    <w:basedOn w:val="691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3" w:customStyle="1">
    <w:name w:val="Bordered - Accent 2"/>
    <w:basedOn w:val="69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4" w:customStyle="1">
    <w:name w:val="Bordered - Accent 3"/>
    <w:basedOn w:val="69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5" w:customStyle="1">
    <w:name w:val="Bordered - Accent 4"/>
    <w:basedOn w:val="69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6" w:customStyle="1">
    <w:name w:val="Bordered - Accent 5"/>
    <w:basedOn w:val="691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7" w:customStyle="1">
    <w:name w:val="Bordered - Accent 6"/>
    <w:basedOn w:val="69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38">
    <w:name w:val="footnote text"/>
    <w:basedOn w:val="680"/>
    <w:link w:val="839"/>
    <w:uiPriority w:val="99"/>
    <w:semiHidden/>
    <w:unhideWhenUsed/>
    <w:pPr>
      <w:spacing w:after="40"/>
    </w:pPr>
    <w:rPr>
      <w:sz w:val="18"/>
    </w:rPr>
  </w:style>
  <w:style w:type="character" w:styleId="839" w:customStyle="1">
    <w:name w:val="Текст сноски Знак"/>
    <w:link w:val="838"/>
    <w:uiPriority w:val="99"/>
    <w:rPr>
      <w:sz w:val="18"/>
    </w:rPr>
  </w:style>
  <w:style w:type="character" w:styleId="840">
    <w:name w:val="footnote reference"/>
    <w:basedOn w:val="690"/>
    <w:uiPriority w:val="99"/>
    <w:unhideWhenUsed/>
    <w:rPr>
      <w:vertAlign w:val="superscript"/>
    </w:rPr>
  </w:style>
  <w:style w:type="paragraph" w:styleId="841">
    <w:name w:val="endnote text"/>
    <w:basedOn w:val="680"/>
    <w:link w:val="842"/>
    <w:uiPriority w:val="99"/>
    <w:semiHidden/>
    <w:unhideWhenUsed/>
  </w:style>
  <w:style w:type="character" w:styleId="842" w:customStyle="1">
    <w:name w:val="Текст концевой сноски Знак"/>
    <w:link w:val="841"/>
    <w:uiPriority w:val="99"/>
    <w:rPr>
      <w:sz w:val="20"/>
    </w:rPr>
  </w:style>
  <w:style w:type="character" w:styleId="843">
    <w:name w:val="endnote reference"/>
    <w:basedOn w:val="690"/>
    <w:uiPriority w:val="99"/>
    <w:semiHidden/>
    <w:unhideWhenUsed/>
    <w:rPr>
      <w:vertAlign w:val="superscript"/>
    </w:rPr>
  </w:style>
  <w:style w:type="paragraph" w:styleId="844">
    <w:name w:val="TOC Heading"/>
    <w:uiPriority w:val="39"/>
    <w:unhideWhenUsed/>
  </w:style>
  <w:style w:type="paragraph" w:styleId="845">
    <w:name w:val="table of figures"/>
    <w:basedOn w:val="680"/>
    <w:next w:val="680"/>
    <w:uiPriority w:val="99"/>
    <w:unhideWhenUsed/>
  </w:style>
  <w:style w:type="character" w:styleId="846" w:customStyle="1">
    <w:name w:val="Обычный1"/>
    <w:rPr>
      <w:rFonts w:ascii="Times New Roman" w:hAnsi="Times New Roman"/>
      <w:color w:val="000000"/>
      <w:sz w:val="20"/>
    </w:rPr>
  </w:style>
  <w:style w:type="paragraph" w:styleId="847">
    <w:name w:val="toc 2"/>
    <w:next w:val="680"/>
    <w:link w:val="848"/>
    <w:uiPriority w:val="39"/>
    <w:pPr>
      <w:ind w:left="200"/>
    </w:pPr>
    <w:rPr>
      <w:rFonts w:ascii="XO Thames" w:hAnsi="XO Thames"/>
      <w:sz w:val="28"/>
    </w:rPr>
  </w:style>
  <w:style w:type="character" w:styleId="848" w:customStyle="1">
    <w:name w:val="Оглавление 2 Знак"/>
    <w:link w:val="847"/>
    <w:rPr>
      <w:rFonts w:ascii="XO Thames" w:hAnsi="XO Thames"/>
      <w:sz w:val="28"/>
    </w:rPr>
  </w:style>
  <w:style w:type="paragraph" w:styleId="849" w:customStyle="1">
    <w:name w:val="Заголовок 3 Знак"/>
    <w:basedOn w:val="870"/>
    <w:link w:val="850"/>
    <w:rPr>
      <w:rFonts w:ascii="Times New Roman" w:hAnsi="Times New Roman"/>
      <w:b/>
      <w:sz w:val="27"/>
    </w:rPr>
  </w:style>
  <w:style w:type="character" w:styleId="850" w:customStyle="1">
    <w:name w:val="Заголовок 3 Знак"/>
    <w:basedOn w:val="690"/>
    <w:link w:val="849"/>
    <w:rPr>
      <w:rFonts w:ascii="Times New Roman" w:hAnsi="Times New Roman"/>
      <w:b/>
      <w:sz w:val="27"/>
    </w:rPr>
  </w:style>
  <w:style w:type="paragraph" w:styleId="851">
    <w:name w:val="Balloon Text"/>
    <w:basedOn w:val="680"/>
    <w:link w:val="852"/>
    <w:rPr>
      <w:rFonts w:ascii="Tahoma" w:hAnsi="Tahoma"/>
      <w:sz w:val="16"/>
    </w:rPr>
  </w:style>
  <w:style w:type="character" w:styleId="852" w:customStyle="1">
    <w:name w:val="Текст выноски Знак"/>
    <w:basedOn w:val="846"/>
    <w:link w:val="851"/>
    <w:rPr>
      <w:rFonts w:ascii="Tahoma" w:hAnsi="Tahoma"/>
      <w:color w:val="000000"/>
      <w:sz w:val="16"/>
    </w:rPr>
  </w:style>
  <w:style w:type="paragraph" w:styleId="853">
    <w:name w:val="toc 4"/>
    <w:next w:val="680"/>
    <w:link w:val="854"/>
    <w:uiPriority w:val="39"/>
    <w:pPr>
      <w:ind w:left="600"/>
    </w:pPr>
    <w:rPr>
      <w:rFonts w:ascii="XO Thames" w:hAnsi="XO Thames"/>
      <w:sz w:val="28"/>
    </w:rPr>
  </w:style>
  <w:style w:type="character" w:styleId="854" w:customStyle="1">
    <w:name w:val="Оглавление 4 Знак"/>
    <w:link w:val="853"/>
    <w:rPr>
      <w:rFonts w:ascii="XO Thames" w:hAnsi="XO Thames"/>
      <w:sz w:val="28"/>
    </w:rPr>
  </w:style>
  <w:style w:type="paragraph" w:styleId="855" w:customStyle="1">
    <w:name w:val="Текст в заданном формате"/>
    <w:basedOn w:val="680"/>
    <w:link w:val="856"/>
    <w:rPr>
      <w:rFonts w:ascii="Iosevka Term SS03" w:hAnsi="Iosevka Term SS03"/>
    </w:rPr>
  </w:style>
  <w:style w:type="character" w:styleId="856" w:customStyle="1">
    <w:name w:val="Текст в заданном формате"/>
    <w:basedOn w:val="846"/>
    <w:link w:val="855"/>
    <w:rPr>
      <w:rFonts w:ascii="Iosevka Term SS03" w:hAnsi="Iosevka Term SS03"/>
      <w:color w:val="000000"/>
      <w:sz w:val="20"/>
    </w:rPr>
  </w:style>
  <w:style w:type="paragraph" w:styleId="857">
    <w:name w:val="Caption"/>
    <w:basedOn w:val="680"/>
    <w:link w:val="858"/>
    <w:pPr>
      <w:spacing w:before="120" w:after="120"/>
    </w:pPr>
    <w:rPr>
      <w:i/>
      <w:sz w:val="24"/>
    </w:rPr>
  </w:style>
  <w:style w:type="character" w:styleId="858" w:customStyle="1">
    <w:name w:val="Название объекта Знак"/>
    <w:basedOn w:val="846"/>
    <w:link w:val="857"/>
    <w:rPr>
      <w:rFonts w:ascii="Times New Roman" w:hAnsi="Times New Roman"/>
      <w:i/>
      <w:color w:val="000000"/>
      <w:sz w:val="24"/>
    </w:rPr>
  </w:style>
  <w:style w:type="paragraph" w:styleId="859">
    <w:name w:val="toc 6"/>
    <w:next w:val="680"/>
    <w:link w:val="860"/>
    <w:uiPriority w:val="39"/>
    <w:pPr>
      <w:ind w:left="1000"/>
    </w:pPr>
    <w:rPr>
      <w:rFonts w:ascii="XO Thames" w:hAnsi="XO Thames"/>
      <w:sz w:val="28"/>
    </w:rPr>
  </w:style>
  <w:style w:type="character" w:styleId="860" w:customStyle="1">
    <w:name w:val="Оглавление 6 Знак"/>
    <w:link w:val="859"/>
    <w:rPr>
      <w:rFonts w:ascii="XO Thames" w:hAnsi="XO Thames"/>
      <w:sz w:val="28"/>
    </w:rPr>
  </w:style>
  <w:style w:type="paragraph" w:styleId="861">
    <w:name w:val="toc 7"/>
    <w:next w:val="680"/>
    <w:link w:val="862"/>
    <w:uiPriority w:val="39"/>
    <w:pPr>
      <w:ind w:left="1200"/>
    </w:pPr>
    <w:rPr>
      <w:rFonts w:ascii="XO Thames" w:hAnsi="XO Thames"/>
      <w:sz w:val="28"/>
    </w:rPr>
  </w:style>
  <w:style w:type="character" w:styleId="862" w:customStyle="1">
    <w:name w:val="Оглавление 7 Знак"/>
    <w:link w:val="861"/>
    <w:rPr>
      <w:rFonts w:ascii="XO Thames" w:hAnsi="XO Thames"/>
      <w:sz w:val="28"/>
    </w:rPr>
  </w:style>
  <w:style w:type="paragraph" w:styleId="863" w:customStyle="1">
    <w:name w:val="k0v_27"/>
    <w:basedOn w:val="870"/>
    <w:link w:val="864"/>
  </w:style>
  <w:style w:type="character" w:styleId="864" w:customStyle="1">
    <w:name w:val="k0v_27"/>
    <w:basedOn w:val="690"/>
    <w:link w:val="863"/>
  </w:style>
  <w:style w:type="paragraph" w:styleId="865" w:customStyle="1">
    <w:name w:val="Маркеры"/>
    <w:link w:val="866"/>
    <w:rPr>
      <w:rFonts w:ascii="OpenSymbol" w:hAnsi="OpenSymbol"/>
    </w:rPr>
  </w:style>
  <w:style w:type="character" w:styleId="866" w:customStyle="1">
    <w:name w:val="Маркеры"/>
    <w:link w:val="865"/>
    <w:rPr>
      <w:rFonts w:ascii="OpenSymbol" w:hAnsi="OpenSymbol"/>
    </w:rPr>
  </w:style>
  <w:style w:type="paragraph" w:styleId="867" w:customStyle="1">
    <w:name w:val="Endnote"/>
    <w:link w:val="868"/>
    <w:pPr>
      <w:ind w:firstLine="851"/>
      <w:jc w:val="both"/>
    </w:pPr>
    <w:rPr>
      <w:rFonts w:ascii="XO Thames" w:hAnsi="XO Thames"/>
    </w:rPr>
  </w:style>
  <w:style w:type="character" w:styleId="868" w:customStyle="1">
    <w:name w:val="Endnote"/>
    <w:link w:val="867"/>
    <w:rPr>
      <w:rFonts w:ascii="XO Thames" w:hAnsi="XO Thames"/>
      <w:sz w:val="22"/>
    </w:rPr>
  </w:style>
  <w:style w:type="character" w:styleId="869" w:customStyle="1">
    <w:name w:val="Заголовок 3 Знак1"/>
    <w:basedOn w:val="846"/>
    <w:link w:val="683"/>
    <w:rPr>
      <w:rFonts w:ascii="Times New Roman" w:hAnsi="Times New Roman"/>
      <w:b/>
      <w:color w:val="000000"/>
      <w:sz w:val="27"/>
    </w:rPr>
  </w:style>
  <w:style w:type="paragraph" w:styleId="870" w:customStyle="1">
    <w:name w:val="Основной шрифт абзаца1"/>
  </w:style>
  <w:style w:type="paragraph" w:styleId="871">
    <w:name w:val="No Spacing"/>
    <w:link w:val="872"/>
    <w:uiPriority w:val="1"/>
    <w:qFormat/>
  </w:style>
  <w:style w:type="character" w:styleId="872" w:customStyle="1">
    <w:name w:val="Без интервала Знак"/>
    <w:link w:val="871"/>
    <w:uiPriority w:val="1"/>
    <w:rPr>
      <w:rFonts w:asciiTheme="minorHAnsi" w:hAnsiTheme="minorHAnsi"/>
      <w:color w:val="000000"/>
      <w:sz w:val="22"/>
    </w:rPr>
  </w:style>
  <w:style w:type="paragraph" w:styleId="873" w:customStyle="1">
    <w:name w:val="_1ebon"/>
    <w:basedOn w:val="870"/>
    <w:link w:val="874"/>
  </w:style>
  <w:style w:type="character" w:styleId="874" w:customStyle="1">
    <w:name w:val="_1ebon"/>
    <w:basedOn w:val="690"/>
    <w:link w:val="873"/>
  </w:style>
  <w:style w:type="paragraph" w:styleId="875">
    <w:name w:val="toc 3"/>
    <w:next w:val="680"/>
    <w:link w:val="876"/>
    <w:uiPriority w:val="39"/>
    <w:pPr>
      <w:ind w:left="400"/>
    </w:pPr>
    <w:rPr>
      <w:rFonts w:ascii="XO Thames" w:hAnsi="XO Thames"/>
      <w:sz w:val="28"/>
    </w:rPr>
  </w:style>
  <w:style w:type="character" w:styleId="876" w:customStyle="1">
    <w:name w:val="Оглавление 3 Знак"/>
    <w:link w:val="875"/>
    <w:rPr>
      <w:rFonts w:ascii="XO Thames" w:hAnsi="XO Thames"/>
      <w:sz w:val="28"/>
    </w:rPr>
  </w:style>
  <w:style w:type="paragraph" w:styleId="877" w:customStyle="1">
    <w:name w:val="Заголовок1"/>
    <w:basedOn w:val="680"/>
    <w:next w:val="883"/>
    <w:link w:val="878"/>
    <w:pPr>
      <w:keepNext/>
      <w:spacing w:before="240" w:after="120"/>
    </w:pPr>
    <w:rPr>
      <w:rFonts w:ascii="Open Sans" w:hAnsi="Open Sans"/>
      <w:sz w:val="28"/>
    </w:rPr>
  </w:style>
  <w:style w:type="character" w:styleId="878" w:customStyle="1">
    <w:name w:val="Заголовок2"/>
    <w:basedOn w:val="846"/>
    <w:link w:val="877"/>
    <w:rPr>
      <w:rFonts w:ascii="Open Sans" w:hAnsi="Open Sans"/>
      <w:color w:val="000000"/>
      <w:sz w:val="28"/>
    </w:rPr>
  </w:style>
  <w:style w:type="paragraph" w:styleId="879" w:customStyle="1">
    <w:name w:val="gray"/>
    <w:basedOn w:val="870"/>
    <w:link w:val="880"/>
  </w:style>
  <w:style w:type="character" w:styleId="880" w:customStyle="1">
    <w:name w:val="gray"/>
    <w:basedOn w:val="690"/>
    <w:link w:val="879"/>
  </w:style>
  <w:style w:type="paragraph" w:styleId="881" w:customStyle="1">
    <w:name w:val="Заголовок таблицы"/>
    <w:basedOn w:val="909"/>
    <w:link w:val="882"/>
    <w:pPr>
      <w:jc w:val="center"/>
    </w:pPr>
    <w:rPr>
      <w:b/>
    </w:rPr>
  </w:style>
  <w:style w:type="character" w:styleId="882" w:customStyle="1">
    <w:name w:val="Заголовок таблицы"/>
    <w:basedOn w:val="910"/>
    <w:link w:val="881"/>
    <w:rPr>
      <w:rFonts w:ascii="Times New Roman" w:hAnsi="Times New Roman"/>
      <w:b/>
      <w:color w:val="000000"/>
      <w:sz w:val="20"/>
    </w:rPr>
  </w:style>
  <w:style w:type="paragraph" w:styleId="883">
    <w:name w:val="Body Text"/>
    <w:basedOn w:val="680"/>
    <w:link w:val="884"/>
    <w:pPr>
      <w:spacing w:after="140" w:line="276" w:lineRule="auto"/>
    </w:pPr>
  </w:style>
  <w:style w:type="character" w:styleId="884" w:customStyle="1">
    <w:name w:val="Основной текст Знак"/>
    <w:basedOn w:val="846"/>
    <w:link w:val="883"/>
    <w:rPr>
      <w:rFonts w:ascii="Times New Roman" w:hAnsi="Times New Roman"/>
      <w:color w:val="000000"/>
      <w:sz w:val="20"/>
    </w:rPr>
  </w:style>
  <w:style w:type="paragraph" w:styleId="885" w:customStyle="1">
    <w:name w:val="Заголовок 1 Знак"/>
    <w:basedOn w:val="870"/>
    <w:link w:val="886"/>
    <w:rPr>
      <w:rFonts w:asciiTheme="majorHAnsi" w:hAnsiTheme="majorHAnsi"/>
      <w:b/>
      <w:color w:val="2e74b5" w:themeColor="accent1" w:themeShade="BF"/>
      <w:sz w:val="28"/>
    </w:rPr>
  </w:style>
  <w:style w:type="character" w:styleId="886" w:customStyle="1">
    <w:name w:val="Заголовок 1 Знак"/>
    <w:basedOn w:val="690"/>
    <w:link w:val="885"/>
    <w:rPr>
      <w:rFonts w:asciiTheme="majorHAnsi" w:hAnsiTheme="majorHAnsi"/>
      <w:b/>
      <w:color w:val="2e74b5" w:themeColor="accent1" w:themeShade="BF"/>
      <w:sz w:val="28"/>
    </w:rPr>
  </w:style>
  <w:style w:type="character" w:styleId="887" w:customStyle="1">
    <w:name w:val="Заголовок 5 Знак"/>
    <w:link w:val="685"/>
    <w:rPr>
      <w:rFonts w:ascii="XO Thames" w:hAnsi="XO Thames"/>
      <w:b/>
      <w:sz w:val="22"/>
    </w:rPr>
  </w:style>
  <w:style w:type="character" w:styleId="888" w:customStyle="1">
    <w:name w:val="Заголовок 1 Знак1"/>
    <w:basedOn w:val="846"/>
    <w:link w:val="681"/>
    <w:rPr>
      <w:rFonts w:asciiTheme="majorHAnsi" w:hAnsiTheme="majorHAnsi"/>
      <w:b/>
      <w:color w:val="2e74b5" w:themeColor="accent1" w:themeShade="BF"/>
      <w:sz w:val="28"/>
    </w:rPr>
  </w:style>
  <w:style w:type="paragraph" w:styleId="889">
    <w:name w:val="Normal (Web)"/>
    <w:basedOn w:val="680"/>
    <w:link w:val="890"/>
    <w:uiPriority w:val="99"/>
    <w:pPr>
      <w:spacing w:beforeAutospacing="1" w:afterAutospacing="1"/>
    </w:pPr>
    <w:rPr>
      <w:sz w:val="24"/>
    </w:rPr>
  </w:style>
  <w:style w:type="character" w:styleId="890" w:customStyle="1">
    <w:name w:val="Обычный (Интернет) Знак"/>
    <w:basedOn w:val="846"/>
    <w:link w:val="889"/>
    <w:uiPriority w:val="99"/>
    <w:rPr>
      <w:rFonts w:ascii="Times New Roman" w:hAnsi="Times New Roman"/>
      <w:color w:val="000000"/>
      <w:sz w:val="24"/>
    </w:rPr>
  </w:style>
  <w:style w:type="paragraph" w:styleId="891" w:customStyle="1">
    <w:name w:val="kv0_27"/>
    <w:basedOn w:val="870"/>
    <w:link w:val="892"/>
  </w:style>
  <w:style w:type="character" w:styleId="892" w:customStyle="1">
    <w:name w:val="kv0_27"/>
    <w:basedOn w:val="690"/>
    <w:link w:val="891"/>
  </w:style>
  <w:style w:type="paragraph" w:styleId="893" w:customStyle="1">
    <w:name w:val="_2sua6"/>
    <w:basedOn w:val="870"/>
    <w:link w:val="894"/>
  </w:style>
  <w:style w:type="character" w:styleId="894" w:customStyle="1">
    <w:name w:val="_2sua6"/>
    <w:basedOn w:val="690"/>
    <w:link w:val="893"/>
  </w:style>
  <w:style w:type="paragraph" w:styleId="895" w:customStyle="1">
    <w:name w:val="Гиперссылка1"/>
    <w:basedOn w:val="870"/>
    <w:link w:val="896"/>
    <w:rPr>
      <w:color w:val="0000ff"/>
      <w:u w:val="single"/>
    </w:rPr>
  </w:style>
  <w:style w:type="character" w:styleId="896">
    <w:name w:val="Hyperlink"/>
    <w:basedOn w:val="690"/>
    <w:link w:val="895"/>
    <w:rPr>
      <w:color w:val="0000ff"/>
      <w:u w:val="single"/>
    </w:rPr>
  </w:style>
  <w:style w:type="paragraph" w:styleId="897" w:customStyle="1">
    <w:name w:val="Footnote"/>
    <w:link w:val="898"/>
    <w:pPr>
      <w:ind w:firstLine="851"/>
      <w:jc w:val="both"/>
    </w:pPr>
    <w:rPr>
      <w:rFonts w:ascii="XO Thames" w:hAnsi="XO Thames"/>
    </w:rPr>
  </w:style>
  <w:style w:type="character" w:styleId="898" w:customStyle="1">
    <w:name w:val="Footnote"/>
    <w:link w:val="897"/>
    <w:rPr>
      <w:rFonts w:ascii="XO Thames" w:hAnsi="XO Thames"/>
      <w:sz w:val="22"/>
    </w:rPr>
  </w:style>
  <w:style w:type="paragraph" w:styleId="899">
    <w:name w:val="toc 1"/>
    <w:next w:val="680"/>
    <w:link w:val="900"/>
    <w:uiPriority w:val="39"/>
    <w:rPr>
      <w:rFonts w:ascii="XO Thames" w:hAnsi="XO Thames"/>
      <w:b/>
      <w:sz w:val="28"/>
    </w:rPr>
  </w:style>
  <w:style w:type="character" w:styleId="900" w:customStyle="1">
    <w:name w:val="Оглавление 1 Знак"/>
    <w:link w:val="899"/>
    <w:rPr>
      <w:rFonts w:ascii="XO Thames" w:hAnsi="XO Thames"/>
      <w:b/>
      <w:sz w:val="28"/>
    </w:rPr>
  </w:style>
  <w:style w:type="paragraph" w:styleId="901" w:customStyle="1">
    <w:name w:val="Header and Footer"/>
    <w:link w:val="902"/>
    <w:pPr>
      <w:jc w:val="both"/>
    </w:pPr>
    <w:rPr>
      <w:rFonts w:ascii="XO Thames" w:hAnsi="XO Thames"/>
      <w:sz w:val="28"/>
    </w:rPr>
  </w:style>
  <w:style w:type="character" w:styleId="902" w:customStyle="1">
    <w:name w:val="Header and Footer"/>
    <w:link w:val="901"/>
    <w:rPr>
      <w:rFonts w:ascii="XO Thames" w:hAnsi="XO Thames"/>
      <w:sz w:val="28"/>
    </w:rPr>
  </w:style>
  <w:style w:type="paragraph" w:styleId="903">
    <w:name w:val="toc 9"/>
    <w:next w:val="680"/>
    <w:link w:val="904"/>
    <w:uiPriority w:val="39"/>
    <w:pPr>
      <w:ind w:left="1600"/>
    </w:pPr>
    <w:rPr>
      <w:rFonts w:ascii="XO Thames" w:hAnsi="XO Thames"/>
      <w:sz w:val="28"/>
    </w:rPr>
  </w:style>
  <w:style w:type="character" w:styleId="904" w:customStyle="1">
    <w:name w:val="Оглавление 9 Знак"/>
    <w:link w:val="903"/>
    <w:rPr>
      <w:rFonts w:ascii="XO Thames" w:hAnsi="XO Thames"/>
      <w:sz w:val="28"/>
    </w:rPr>
  </w:style>
  <w:style w:type="paragraph" w:styleId="905" w:customStyle="1">
    <w:name w:val="k9u_27"/>
    <w:basedOn w:val="870"/>
    <w:link w:val="906"/>
  </w:style>
  <w:style w:type="character" w:styleId="906" w:customStyle="1">
    <w:name w:val="k9u_27"/>
    <w:basedOn w:val="690"/>
    <w:link w:val="905"/>
  </w:style>
  <w:style w:type="paragraph" w:styleId="907">
    <w:name w:val="toc 8"/>
    <w:next w:val="680"/>
    <w:link w:val="908"/>
    <w:uiPriority w:val="39"/>
    <w:pPr>
      <w:ind w:left="1400"/>
    </w:pPr>
    <w:rPr>
      <w:rFonts w:ascii="XO Thames" w:hAnsi="XO Thames"/>
      <w:sz w:val="28"/>
    </w:rPr>
  </w:style>
  <w:style w:type="character" w:styleId="908" w:customStyle="1">
    <w:name w:val="Оглавление 8 Знак"/>
    <w:link w:val="907"/>
    <w:rPr>
      <w:rFonts w:ascii="XO Thames" w:hAnsi="XO Thames"/>
      <w:sz w:val="28"/>
    </w:rPr>
  </w:style>
  <w:style w:type="paragraph" w:styleId="909" w:customStyle="1">
    <w:name w:val="Содержимое таблицы"/>
    <w:basedOn w:val="680"/>
    <w:link w:val="910"/>
    <w:pPr>
      <w:widowControl w:val="off"/>
    </w:pPr>
  </w:style>
  <w:style w:type="character" w:styleId="910" w:customStyle="1">
    <w:name w:val="Содержимое таблицы"/>
    <w:basedOn w:val="846"/>
    <w:link w:val="909"/>
    <w:rPr>
      <w:rFonts w:ascii="Times New Roman" w:hAnsi="Times New Roman"/>
      <w:color w:val="000000"/>
      <w:sz w:val="20"/>
    </w:rPr>
  </w:style>
  <w:style w:type="paragraph" w:styleId="911">
    <w:name w:val="List Paragraph"/>
    <w:basedOn w:val="680"/>
    <w:link w:val="912"/>
    <w:qFormat/>
    <w:pPr>
      <w:contextualSpacing/>
      <w:ind w:left="720"/>
      <w:jc w:val="both"/>
      <w:spacing w:before="60" w:after="60"/>
      <w:widowControl w:val="off"/>
    </w:pPr>
    <w:rPr>
      <w:rFonts w:ascii="Arial" w:hAnsi="Arial"/>
      <w:sz w:val="24"/>
    </w:rPr>
  </w:style>
  <w:style w:type="character" w:styleId="912" w:customStyle="1">
    <w:name w:val="Абзац списка Знак"/>
    <w:basedOn w:val="846"/>
    <w:link w:val="911"/>
    <w:rPr>
      <w:rFonts w:ascii="Arial" w:hAnsi="Arial"/>
      <w:color w:val="000000"/>
      <w:sz w:val="24"/>
    </w:rPr>
  </w:style>
  <w:style w:type="paragraph" w:styleId="913">
    <w:name w:val="toc 5"/>
    <w:next w:val="680"/>
    <w:link w:val="914"/>
    <w:uiPriority w:val="39"/>
    <w:pPr>
      <w:ind w:left="800"/>
    </w:pPr>
    <w:rPr>
      <w:rFonts w:ascii="XO Thames" w:hAnsi="XO Thames"/>
      <w:sz w:val="28"/>
    </w:rPr>
  </w:style>
  <w:style w:type="character" w:styleId="914" w:customStyle="1">
    <w:name w:val="Оглавление 5 Знак"/>
    <w:link w:val="913"/>
    <w:rPr>
      <w:rFonts w:ascii="XO Thames" w:hAnsi="XO Thames"/>
      <w:sz w:val="28"/>
    </w:rPr>
  </w:style>
  <w:style w:type="paragraph" w:styleId="915">
    <w:name w:val="Subtitle"/>
    <w:next w:val="680"/>
    <w:link w:val="916"/>
    <w:uiPriority w:val="11"/>
    <w:qFormat/>
    <w:pPr>
      <w:jc w:val="both"/>
    </w:pPr>
    <w:rPr>
      <w:rFonts w:ascii="XO Thames" w:hAnsi="XO Thames"/>
      <w:i/>
      <w:sz w:val="24"/>
    </w:rPr>
  </w:style>
  <w:style w:type="character" w:styleId="916" w:customStyle="1">
    <w:name w:val="Подзаголовок Знак"/>
    <w:link w:val="915"/>
    <w:rPr>
      <w:rFonts w:ascii="XO Thames" w:hAnsi="XO Thames"/>
      <w:i/>
      <w:sz w:val="24"/>
    </w:rPr>
  </w:style>
  <w:style w:type="paragraph" w:styleId="917">
    <w:name w:val="List"/>
    <w:basedOn w:val="883"/>
    <w:link w:val="918"/>
  </w:style>
  <w:style w:type="character" w:styleId="918" w:customStyle="1">
    <w:name w:val="Список Знак"/>
    <w:basedOn w:val="884"/>
    <w:link w:val="917"/>
    <w:rPr>
      <w:rFonts w:ascii="Times New Roman" w:hAnsi="Times New Roman"/>
      <w:color w:val="000000"/>
      <w:sz w:val="20"/>
    </w:rPr>
  </w:style>
  <w:style w:type="paragraph" w:styleId="919" w:customStyle="1">
    <w:name w:val="ywvl7"/>
    <w:basedOn w:val="870"/>
    <w:link w:val="920"/>
  </w:style>
  <w:style w:type="character" w:styleId="920" w:customStyle="1">
    <w:name w:val="ywvl7"/>
    <w:basedOn w:val="690"/>
    <w:link w:val="919"/>
  </w:style>
  <w:style w:type="paragraph" w:styleId="921">
    <w:name w:val="Title"/>
    <w:next w:val="680"/>
    <w:link w:val="922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922" w:customStyle="1">
    <w:name w:val="Заголовок Знак"/>
    <w:link w:val="921"/>
    <w:rPr>
      <w:rFonts w:ascii="XO Thames" w:hAnsi="XO Thames"/>
      <w:b/>
      <w:caps/>
      <w:sz w:val="40"/>
    </w:rPr>
  </w:style>
  <w:style w:type="character" w:styleId="923" w:customStyle="1">
    <w:name w:val="Заголовок 4 Знак"/>
    <w:link w:val="684"/>
    <w:rPr>
      <w:rFonts w:ascii="XO Thames" w:hAnsi="XO Thames"/>
      <w:b/>
      <w:sz w:val="24"/>
    </w:rPr>
  </w:style>
  <w:style w:type="paragraph" w:styleId="924">
    <w:name w:val="index heading"/>
    <w:basedOn w:val="680"/>
    <w:link w:val="925"/>
  </w:style>
  <w:style w:type="character" w:styleId="925" w:customStyle="1">
    <w:name w:val="Указатель Знак"/>
    <w:basedOn w:val="846"/>
    <w:link w:val="924"/>
    <w:rPr>
      <w:rFonts w:ascii="Times New Roman" w:hAnsi="Times New Roman"/>
      <w:color w:val="000000"/>
      <w:sz w:val="20"/>
    </w:rPr>
  </w:style>
  <w:style w:type="character" w:styleId="926" w:customStyle="1">
    <w:name w:val="Заголовок 2 Знак1"/>
    <w:basedOn w:val="846"/>
    <w:link w:val="682"/>
    <w:rPr>
      <w:rFonts w:ascii="Times New Roman" w:hAnsi="Times New Roman"/>
      <w:b/>
      <w:color w:val="000000"/>
      <w:sz w:val="36"/>
    </w:rPr>
  </w:style>
  <w:style w:type="paragraph" w:styleId="927" w:customStyle="1">
    <w:name w:val="Заголовок 2 Знак"/>
    <w:basedOn w:val="870"/>
    <w:link w:val="928"/>
    <w:rPr>
      <w:rFonts w:ascii="Times New Roman" w:hAnsi="Times New Roman"/>
      <w:b/>
      <w:sz w:val="36"/>
    </w:rPr>
  </w:style>
  <w:style w:type="character" w:styleId="928" w:customStyle="1">
    <w:name w:val="Заголовок 2 Знак"/>
    <w:basedOn w:val="690"/>
    <w:link w:val="927"/>
    <w:rPr>
      <w:rFonts w:ascii="Times New Roman" w:hAnsi="Times New Roman"/>
      <w:b/>
      <w:sz w:val="36"/>
    </w:rPr>
  </w:style>
  <w:style w:type="table" w:styleId="929">
    <w:name w:val="Table Grid"/>
    <w:basedOn w:val="69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30" w:customStyle="1">
    <w:name w:val="product-characteristics__spec-title-content"/>
    <w:basedOn w:val="690"/>
  </w:style>
  <w:style w:type="character" w:styleId="931">
    <w:name w:val="FollowedHyperlink"/>
    <w:basedOn w:val="690"/>
    <w:uiPriority w:val="99"/>
    <w:semiHidden/>
    <w:unhideWhenUsed/>
    <w:rPr>
      <w:color w:val="954f72" w:themeColor="followedHyperlink"/>
      <w:u w:val="single"/>
    </w:rPr>
  </w:style>
  <w:style w:type="character" w:styleId="932">
    <w:name w:val="Unresolved Mention"/>
    <w:basedOn w:val="690"/>
    <w:uiPriority w:val="99"/>
    <w:semiHidden/>
    <w:unhideWhenUsed/>
    <w:rPr>
      <w:color w:val="605e5c"/>
      <w:shd w:val="clear" w:color="auto" w:fill="e1dfdd"/>
    </w:rPr>
  </w:style>
  <w:style w:type="paragraph" w:styleId="933" w:customStyle="1">
    <w:name w:val="docdata"/>
    <w:basedOn w:val="680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934">
    <w:name w:val="Strong"/>
    <w:uiPriority w:val="22"/>
    <w:qFormat/>
    <w:rPr>
      <w:rFonts w:cs="Times New Roman"/>
      <w:b/>
      <w:bCs/>
    </w:rPr>
  </w:style>
  <w:style w:type="paragraph" w:styleId="935" w:customStyle="1">
    <w:name w:val="docdata;docy;v5;2726;bqiaagaaeyqcaaagiaiaaaprcqaabd8jaaaaaaaaaaaaaaaaaaaaaaaaaaaaaaaaaaaaaaaaaaaaaaaaaaaaaaaaaaaaaaaaaaaaaaaaaaaaaaaaaaaaaaaaaaaaaaaaaaaaaaaaaaaaaaaaaaaaaaaaaaaaaaaaaaaaaaaaaaaaaaaaaaaaaaaaaaaaaaaaaaaaaaaaaaaaaaaaaaaaaaaaaaaaaaaaaaaaaaaa"/>
    <w:basedOn w:val="680"/>
    <w:pPr>
      <w:spacing w:before="100" w:beforeAutospacing="1" w:after="100" w:afterAutospacing="1"/>
    </w:pPr>
    <w:rPr>
      <w:color w:val="auto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>sborka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Карпова Дарья Вячеславовна</dc:creator>
  <dc:description>DOC-MARKER-UYMwSB7OSXYlp3j3w1c6fw</dc:description>
  <cp:lastModifiedBy>Дарья Вячеславовна</cp:lastModifiedBy>
  <cp:revision>20</cp:revision>
  <dcterms:created xsi:type="dcterms:W3CDTF">2026-09-10T06:07:00Z</dcterms:created>
  <dcterms:modified xsi:type="dcterms:W3CDTF">2026-09-10T11:23:24Z</dcterms:modified>
</cp:coreProperties>
</file>