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rPr>
          <w:b/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</w:r>
      <w:r>
        <w:rPr>
          <w:b/>
          <w:color w:val="0d0d0d" w:themeColor="text1" w:themeTint="F2"/>
          <w:sz w:val="22"/>
          <w:szCs w:val="22"/>
        </w:rPr>
      </w:r>
    </w:p>
    <w:p>
      <w:pPr>
        <w:pStyle w:val="980"/>
        <w:pBdr/>
        <w:tabs>
          <w:tab w:val="left" w:leader="none" w:pos="426"/>
        </w:tabs>
        <w:spacing w:after="0"/>
        <w:ind/>
        <w:jc w:val="center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</w:r>
      <w:r>
        <w:rPr>
          <w:b/>
          <w:bCs/>
          <w:color w:val="0d0d0d" w:themeColor="text1" w:themeTint="F2"/>
          <w:sz w:val="22"/>
          <w:szCs w:val="22"/>
        </w:rPr>
      </w:r>
    </w:p>
    <w:p>
      <w:pPr>
        <w:pStyle w:val="980"/>
        <w:pBdr/>
        <w:tabs>
          <w:tab w:val="left" w:leader="none" w:pos="426"/>
        </w:tabs>
        <w:spacing w:after="0"/>
        <w:ind/>
        <w:jc w:val="center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 xml:space="preserve">Техническое задание на оказание услуг</w:t>
      </w:r>
      <w:r>
        <w:rPr>
          <w:b/>
          <w:bCs/>
          <w:color w:val="0d0d0d" w:themeColor="text1" w:themeTint="F2"/>
          <w:sz w:val="22"/>
          <w:szCs w:val="22"/>
        </w:rPr>
      </w:r>
    </w:p>
    <w:p>
      <w:pPr>
        <w:pStyle w:val="980"/>
        <w:pBdr/>
        <w:tabs>
          <w:tab w:val="left" w:leader="none" w:pos="426"/>
        </w:tabs>
        <w:spacing w:after="0"/>
        <w:ind/>
        <w:jc w:val="center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 xml:space="preserve">(требования к качеству услуг)</w:t>
      </w:r>
      <w:r>
        <w:rPr>
          <w:b/>
          <w:bCs/>
          <w:color w:val="0d0d0d" w:themeColor="text1" w:themeTint="F2"/>
          <w:sz w:val="22"/>
          <w:szCs w:val="22"/>
        </w:rPr>
      </w:r>
    </w:p>
    <w:p>
      <w:pPr>
        <w:pStyle w:val="980"/>
        <w:pBdr/>
        <w:tabs>
          <w:tab w:val="left" w:leader="none" w:pos="426"/>
        </w:tabs>
        <w:spacing w:after="0"/>
        <w:ind/>
        <w:jc w:val="center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 xml:space="preserve">на оказание услуг по охране и обеспечению внутриобъектового и пропускного режимов в </w:t>
      </w:r>
      <w:r>
        <w:rPr>
          <w:b/>
          <w:bCs/>
          <w:color w:val="0d0d0d" w:themeColor="text1" w:themeTint="F2"/>
          <w:sz w:val="22"/>
          <w:szCs w:val="22"/>
        </w:rPr>
        <w:t xml:space="preserve">МАДОУ детского сада №178</w:t>
      </w:r>
      <w:r>
        <w:rPr>
          <w:b/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426"/>
        </w:tabs>
        <w:spacing w:after="0"/>
        <w:ind/>
        <w:rPr>
          <w:bCs/>
          <w:i/>
          <w:iCs/>
          <w:color w:val="0d0d0d" w:themeColor="text1" w:themeTint="F2"/>
          <w:sz w:val="22"/>
          <w:szCs w:val="22"/>
        </w:rPr>
      </w:pPr>
      <w:r>
        <w:rPr>
          <w:bCs/>
          <w:i/>
          <w:iCs/>
          <w:color w:val="0d0d0d" w:themeColor="text1" w:themeTint="F2"/>
          <w:sz w:val="22"/>
          <w:szCs w:val="22"/>
        </w:rPr>
        <w:t xml:space="preserve">ОКПД 2: 80.10.12.200 Услуги частных охранных организаций</w:t>
      </w:r>
      <w:r>
        <w:rPr>
          <w:bCs/>
          <w:i/>
          <w:i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426"/>
        </w:tabs>
        <w:spacing w:after="0"/>
        <w:ind/>
        <w:rPr>
          <w:b/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</w:r>
      <w:r>
        <w:rPr>
          <w:b/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5"/>
        </w:numPr>
        <w:pBdr/>
        <w:tabs>
          <w:tab w:val="left" w:leader="none" w:pos="426"/>
        </w:tabs>
        <w:spacing w:after="0"/>
        <w:ind w:firstLine="0" w:left="0"/>
        <w:rPr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  <w:t xml:space="preserve">Объект закупки:</w:t>
      </w:r>
      <w:r>
        <w:rPr>
          <w:color w:val="0d0d0d" w:themeColor="text1" w:themeTint="F2"/>
          <w:sz w:val="22"/>
          <w:szCs w:val="22"/>
        </w:rPr>
        <w:t xml:space="preserve"> </w:t>
      </w:r>
      <w:r>
        <w:rPr>
          <w:color w:val="0d0d0d" w:themeColor="text1" w:themeTint="F2"/>
          <w:sz w:val="22"/>
          <w:szCs w:val="22"/>
        </w:rPr>
        <w:t xml:space="preserve">Оказание услуг по охране и обеспечению внутриобъектового и пропускного режимов в МАДОУ детского сада №178</w:t>
      </w:r>
      <w:r>
        <w:rPr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5"/>
        </w:numPr>
        <w:pBdr/>
        <w:tabs>
          <w:tab w:val="left" w:leader="none" w:pos="426"/>
        </w:tabs>
        <w:spacing w:after="0"/>
        <w:ind w:firstLine="0" w:left="0"/>
        <w:rPr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  <w:t xml:space="preserve">Наименование оказываемых услуг</w:t>
      </w:r>
      <w:r>
        <w:rPr>
          <w:color w:val="0d0d0d" w:themeColor="text1" w:themeTint="F2"/>
          <w:sz w:val="22"/>
          <w:szCs w:val="22"/>
        </w:rPr>
        <w:t xml:space="preserve">: услуги по охране и обеспечению внутриобъектового и пропускного режимов, а именно:</w:t>
      </w:r>
      <w:r>
        <w:rPr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6"/>
        </w:numPr>
        <w:pBdr/>
        <w:tabs>
          <w:tab w:val="left" w:leader="none" w:pos="426"/>
        </w:tabs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защита жизни и здоровья обучающихся и сотрудников;</w:t>
      </w:r>
      <w:r>
        <w:rPr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6"/>
        </w:numPr>
        <w:pBdr/>
        <w:tabs>
          <w:tab w:val="left" w:leader="none" w:pos="426"/>
        </w:tabs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охрана объектов и имущества в оперативном управлении;</w:t>
      </w:r>
      <w:r>
        <w:rPr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6"/>
        </w:numPr>
        <w:pBdr/>
        <w:tabs>
          <w:tab w:val="left" w:leader="none" w:pos="426"/>
        </w:tabs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обеспечение порядка в период проведения массовых мероприятий;</w:t>
      </w:r>
      <w:r>
        <w:rPr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6"/>
        </w:numPr>
        <w:pBdr/>
        <w:tabs>
          <w:tab w:val="left" w:leader="none" w:pos="426"/>
        </w:tabs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обеспечение внутриобъектового и пропускного режимов на объектах, контроль их функционирования;</w:t>
      </w:r>
      <w:r>
        <w:rPr>
          <w:color w:val="0d0d0d" w:themeColor="text1" w:themeTint="F2"/>
          <w:sz w:val="22"/>
          <w:szCs w:val="22"/>
        </w:rPr>
      </w:r>
    </w:p>
    <w:p>
      <w:pPr>
        <w:pStyle w:val="1016"/>
        <w:numPr>
          <w:ilvl w:val="0"/>
          <w:numId w:val="6"/>
        </w:num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охрана объектов и имущества, а также обеспечение внутриобъектового и пропускного режимов с учетом обязательных для выполнения требований к антитеррористической защищенности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 w:before="240"/>
        <w:ind/>
        <w:rPr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  <w:t xml:space="preserve">3.</w:t>
      </w:r>
      <w:r>
        <w:rPr>
          <w:b/>
          <w:color w:val="0d0d0d" w:themeColor="text1" w:themeTint="F2"/>
          <w:sz w:val="22"/>
          <w:szCs w:val="22"/>
        </w:rPr>
        <w:tab/>
        <w:t xml:space="preserve">Место и о</w:t>
      </w:r>
      <w:r>
        <w:rPr>
          <w:b/>
          <w:color w:val="0d0d0d" w:themeColor="text1" w:themeTint="F2"/>
          <w:sz w:val="22"/>
          <w:szCs w:val="22"/>
        </w:rPr>
        <w:t xml:space="preserve">бъем</w:t>
      </w:r>
      <w:r>
        <w:rPr>
          <w:b/>
          <w:color w:val="0d0d0d" w:themeColor="text1" w:themeTint="F2"/>
          <w:sz w:val="22"/>
          <w:szCs w:val="22"/>
        </w:rPr>
        <w:t xml:space="preserve"> </w:t>
      </w:r>
      <w:r>
        <w:rPr>
          <w:b/>
          <w:bCs/>
          <w:color w:val="0d0d0d" w:themeColor="text1" w:themeTint="F2"/>
          <w:sz w:val="22"/>
          <w:szCs w:val="22"/>
        </w:rPr>
        <w:t xml:space="preserve">оказываемых услуг</w:t>
      </w:r>
      <w:r>
        <w:rPr>
          <w:color w:val="0d0d0d" w:themeColor="text1" w:themeTint="F2"/>
          <w:sz w:val="22"/>
          <w:szCs w:val="22"/>
        </w:rPr>
        <w:t xml:space="preserve">: </w:t>
      </w:r>
      <w:r>
        <w:rPr>
          <w:color w:val="0d0d0d" w:themeColor="text1" w:themeTint="F2"/>
          <w:sz w:val="22"/>
          <w:szCs w:val="22"/>
        </w:rPr>
      </w:r>
    </w:p>
    <w:tbl>
      <w:tblPr>
        <w:tblInd w:w="-5" w:type="dxa"/>
        <w:tblW w:w="5000" w:type="pct"/>
        <w:tblBorders/>
        <w:tblLayout w:type="fixed"/>
        <w:tblLook w:val="0000" w:firstRow="0" w:lastRow="0" w:firstColumn="0" w:lastColumn="0" w:noHBand="0" w:noVBand="0"/>
      </w:tblPr>
      <w:tblGrid>
        <w:gridCol w:w="590"/>
        <w:gridCol w:w="2949"/>
        <w:gridCol w:w="2818"/>
        <w:gridCol w:w="1921"/>
        <w:gridCol w:w="1036"/>
        <w:gridCol w:w="1011"/>
      </w:tblGrid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расположения поста охраны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0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Режим работы поста в течение суток</w:t>
            </w:r>
            <w:r>
              <w:rPr>
                <w:b/>
                <w:sz w:val="22"/>
                <w:szCs w:val="22"/>
              </w:rPr>
            </w:r>
          </w:p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(час)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Вид поста охраны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Кол-во постов охраны</w:t>
            </w:r>
            <w:r>
              <w:rPr>
                <w:b/>
                <w:sz w:val="22"/>
                <w:szCs w:val="22"/>
              </w:rPr>
            </w:r>
          </w:p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(пост)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9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Кол-во часов охраны</w:t>
            </w:r>
            <w:r>
              <w:rPr>
                <w:b/>
                <w:sz w:val="22"/>
                <w:szCs w:val="22"/>
              </w:rPr>
              <w:t xml:space="preserve">, ч/ч 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contextualSpacing w:val="tru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620091, Свердловская обл., г. Екатеринбург, ул. Баумана, д.2 -б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0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Круглосуточный</w:t>
            </w:r>
            <w:r>
              <w:rPr>
                <w:sz w:val="22"/>
                <w:szCs w:val="22"/>
              </w:rPr>
            </w:r>
          </w:p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часовой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Стационарный внутренний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9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2952</w:t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contextualSpacing w:val="true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620091, Свердловская обл., г. Екатеринбург, Проспект Космонавтов, 40а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0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Круглосуточный</w:t>
            </w:r>
            <w:r>
              <w:rPr>
                <w:sz w:val="22"/>
                <w:szCs w:val="22"/>
              </w:rPr>
            </w:r>
          </w:p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часовой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Стационарный внутренний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9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2952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contextualSpacing w:val="tru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0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9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 w:after="0"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d0d0d" w:themeColor="text1" w:themeTint="F2"/>
                <w:sz w:val="22"/>
                <w:szCs w:val="22"/>
              </w:rPr>
              <w:t xml:space="preserve">5904</w:t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pBdr/>
        <w:spacing w:after="0" w:before="24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outlineLvl w:val="4"/>
        <w:rPr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  <w:t xml:space="preserve">4.</w:t>
      </w:r>
      <w:r>
        <w:rPr>
          <w:b/>
          <w:color w:val="0d0d0d" w:themeColor="text1" w:themeTint="F2"/>
          <w:sz w:val="22"/>
          <w:szCs w:val="22"/>
        </w:rPr>
        <w:t xml:space="preserve">Сроки (периоды) оказания услуг</w:t>
      </w:r>
      <w:r>
        <w:rPr>
          <w:color w:val="0d0d0d" w:themeColor="text1" w:themeTint="F2"/>
          <w:sz w:val="22"/>
          <w:szCs w:val="22"/>
        </w:rPr>
        <w:t xml:space="preserve">: с 01.10.2026 по </w:t>
      </w:r>
      <w:r>
        <w:rPr>
          <w:color w:val="0d0d0d" w:themeColor="text1" w:themeTint="F2"/>
          <w:sz w:val="22"/>
          <w:szCs w:val="22"/>
        </w:rPr>
        <w:t xml:space="preserve">31</w:t>
      </w:r>
      <w:r>
        <w:rPr>
          <w:color w:val="0d0d0d" w:themeColor="text1" w:themeTint="F2"/>
          <w:sz w:val="22"/>
          <w:szCs w:val="22"/>
        </w:rPr>
        <w:t xml:space="preserve"> </w:t>
      </w:r>
      <w:r>
        <w:rPr>
          <w:color w:val="0d0d0d" w:themeColor="text1" w:themeTint="F2"/>
          <w:sz w:val="22"/>
          <w:szCs w:val="22"/>
        </w:rPr>
        <w:t xml:space="preserve">января 202</w:t>
      </w:r>
      <w:r>
        <w:rPr>
          <w:color w:val="0d0d0d" w:themeColor="text1" w:themeTint="F2"/>
          <w:sz w:val="22"/>
          <w:szCs w:val="22"/>
        </w:rPr>
        <w:t xml:space="preserve">7 включительно.</w:t>
      </w:r>
      <w:r>
        <w:rPr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540"/>
        </w:tabs>
        <w:spacing w:after="0"/>
        <w:ind/>
        <w:outlineLvl w:val="4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  <w:t xml:space="preserve">5.</w:t>
      </w:r>
      <w:r>
        <w:rPr>
          <w:color w:val="0d0d0d" w:themeColor="text1" w:themeTint="F2"/>
          <w:sz w:val="22"/>
          <w:szCs w:val="22"/>
        </w:rPr>
        <w:t xml:space="preserve">  </w:t>
      </w:r>
      <w:r>
        <w:rPr>
          <w:b/>
          <w:bCs/>
          <w:color w:val="0d0d0d" w:themeColor="text1" w:themeTint="F2"/>
          <w:sz w:val="22"/>
          <w:szCs w:val="22"/>
        </w:rPr>
        <w:t xml:space="preserve">Общие требования к оказанию услуг:</w:t>
      </w:r>
      <w:r>
        <w:rPr>
          <w:b/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5.1. Исполнитель должен обеспечить ежедневную, круглосуточную охрану на Объектах. Посты охраны располагаются в здании, на входе.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5.2. Исполнитель должен обеспечить антитеррористическую защищенность объектов, путем выполнения комплекса мер, направленных:</w:t>
      </w:r>
      <w:r>
        <w:rPr>
          <w:color w:val="0d0d0d" w:themeColor="text1" w:themeTint="F2"/>
          <w:sz w:val="22"/>
          <w:szCs w:val="22"/>
        </w:rPr>
        <w:t xml:space="preserve"> </w:t>
      </w:r>
      <w:r>
        <w:rPr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а) на воспрепятствование неправомерному проникновению на объекты (территории);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б) на выявление потенциальных нарушителей, установленных на объектах (территориях) пропускного и внутриобъектового режимов и (или) признаков подготовки или совершения террористического акта: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-неукоснительного соблюдения на объектах (территориях) пропускного и внутриобъектового режимов;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периодической проверки зданий (строений, сооружений), а также потенциально опасных участков и критических элементов объектов (территорий), стоянок автотранспорта в целях выявления признаков подготовки или совершения террористического акта;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принятия к нарушителям пропускного и внутриобъектового режимов мер ответственности, предусмотренных законодательством Российской Федерации;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исключения бесконтрольного пребывания на объектах (территориях) посторонних лиц и нахождения транспортных средств, в том числе в непосредственной близости от объектов (территорий);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сбора, обобщения и анализа выявленных фактов скрытого наблюдения, фото- и видеосъемки объектов (территорий) неизвестными лицами, провокаций сотрудников организаций, обеспечивающих охрану</w:t>
      </w:r>
      <w:r>
        <w:rPr>
          <w:bCs/>
          <w:color w:val="0d0d0d" w:themeColor="text1" w:themeTint="F2"/>
          <w:sz w:val="22"/>
          <w:szCs w:val="22"/>
        </w:rPr>
        <w:t xml:space="preserve"> объектов (территорий), на неправомерные действия, проникновения посторонних лиц на объекты (территории), беспричинного размещения посторонними лицами перед зданиями (строениями и сооружениями) или вблизи объектов (территорий) вещей и транспортных средств;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 контроля состояния систем подземных коммуникаций, стоянок транспорта, складских помещений;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поддержания постоянного взаимодейств</w:t>
      </w:r>
      <w:r>
        <w:rPr>
          <w:bCs/>
          <w:color w:val="0d0d0d" w:themeColor="text1" w:themeTint="F2"/>
          <w:sz w:val="22"/>
          <w:szCs w:val="22"/>
        </w:rPr>
        <w:t xml:space="preserve">ия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(подразделениями вневедомственной охраны </w:t>
      </w:r>
      <w:r>
        <w:rPr>
          <w:bCs/>
          <w:color w:val="0d0d0d" w:themeColor="text1" w:themeTint="F2"/>
          <w:sz w:val="22"/>
          <w:szCs w:val="22"/>
        </w:rPr>
        <w:t xml:space="preserve">войск национальной гвардии Российской Федерации) по вопросам противодействия терроризму и экстремизму;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в) своевременного информирования правоохранительных органов о фактах хищения и незаконного приобретения работниками объектов (территорий) оружия, деталей для изготовления самодельных взрывных устройств, а также о местах их хранения.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г) на пресечение попы</w:t>
      </w:r>
      <w:r>
        <w:rPr>
          <w:bCs/>
          <w:color w:val="0d0d0d" w:themeColor="text1" w:themeTint="F2"/>
          <w:sz w:val="22"/>
          <w:szCs w:val="22"/>
        </w:rPr>
        <w:t xml:space="preserve">ток совершения террористических актов на объектах (территориях), путем совершения ежедневного обхода и осмотра объектов (территорий), а также периодической проверки (обхода и осмотра) зданий (сооружений) и территорий со складскими и подсобными помещениями;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д) на минимизацию возможных последствий совершения террористических актов на объектах (территориях) и ликвидацию угрозы их совершения, своевременного выявления и незамедлительного доведения информации об угрозе со</w:t>
      </w:r>
      <w:r>
        <w:rPr>
          <w:bCs/>
          <w:color w:val="0d0d0d" w:themeColor="text1" w:themeTint="F2"/>
          <w:sz w:val="22"/>
          <w:szCs w:val="22"/>
        </w:rPr>
        <w:t xml:space="preserve">вершения или о совершении террористического акта до территориального органа безопасности,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360"/>
        </w:tabs>
        <w:spacing w:after="0"/>
        <w:ind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и) на обеспечение защиты служебной</w:t>
      </w:r>
      <w:r>
        <w:rPr>
          <w:bCs/>
          <w:color w:val="0d0d0d" w:themeColor="text1" w:themeTint="F2"/>
          <w:sz w:val="22"/>
          <w:szCs w:val="22"/>
        </w:rPr>
        <w:t xml:space="preserve"> информации ограниченного распространения, содержащейся в паспорте безопасности объекта (территории) документах, в том числе служебной информации ограниченного распространения о принимаемых мерах по антитеррористической защищенности объектов (территорий), 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5.3. О</w:t>
      </w:r>
      <w:r>
        <w:rPr>
          <w:color w:val="0d0d0d" w:themeColor="text1" w:themeTint="F2"/>
          <w:sz w:val="22"/>
          <w:szCs w:val="22"/>
        </w:rPr>
        <w:t xml:space="preserve">храну должны обеспечивать сотрудники Исполнителя (далее – Охранники) в форменной одежде с нашивкой с указанием наименования и логотипа (при наличии) охранной организации Исполнителя, у каждого Охранника обязательно наличие удостоверения частного охранника.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i/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5.4. Начало дежурства должно начинаться в строго определенное время, согласованное с З</w:t>
      </w:r>
      <w:r>
        <w:rPr>
          <w:color w:val="0d0d0d" w:themeColor="text1" w:themeTint="F2"/>
          <w:sz w:val="22"/>
          <w:szCs w:val="22"/>
        </w:rPr>
        <w:t xml:space="preserve">аказчиком, но не менее чем за 1 час до начала рабочего дня. Режим работы охранника составляет не более 24 часа. Передача дежурства (пересменка) должна начинаться за 10-15 минут до начала дежурства, с обязательной записью в журнале приема-передачи дежурств;</w:t>
      </w:r>
      <w:r>
        <w:rPr>
          <w:i/>
          <w:color w:val="0d0d0d" w:themeColor="text1" w:themeTint="F2"/>
          <w:sz w:val="22"/>
          <w:szCs w:val="22"/>
        </w:rPr>
      </w:r>
    </w:p>
    <w:p>
      <w:pPr>
        <w:widowControl w:val="false"/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5.5. Исполнитель должен обеспечить наличие на посту каждого Объекта должностной инструкции частного охранника.</w:t>
      </w:r>
      <w:r>
        <w:rPr>
          <w:color w:val="0d0d0d" w:themeColor="text1" w:themeTint="F2"/>
          <w:sz w:val="22"/>
          <w:szCs w:val="22"/>
        </w:rPr>
      </w:r>
    </w:p>
    <w:p>
      <w:pPr>
        <w:widowControl w:val="false"/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5.6. Объект оснащен тревожной кнопки для экстренной связи с дежурной частью.</w:t>
      </w:r>
      <w:r>
        <w:rPr>
          <w:color w:val="0d0d0d" w:themeColor="text1" w:themeTint="F2"/>
          <w:sz w:val="22"/>
          <w:szCs w:val="22"/>
        </w:rPr>
      </w:r>
    </w:p>
    <w:p>
      <w:pPr>
        <w:widowControl w:val="false"/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sz w:val="22"/>
          <w:szCs w:val="22"/>
        </w:rPr>
        <w:t xml:space="preserve">5.7. </w:t>
      </w:r>
      <w:r>
        <w:rPr>
          <w:color w:val="0d0d0d" w:themeColor="text1" w:themeTint="F2"/>
          <w:sz w:val="22"/>
          <w:szCs w:val="22"/>
        </w:rPr>
        <w:t xml:space="preserve">Исполнитель должен обеспечить постоянный контроль за ситуацией на охраняемом Объекте – ежедневно инспектировать охраняемые Объекты на предмет должного физического состояния и поведения Охранников.</w:t>
      </w:r>
      <w:r>
        <w:rPr>
          <w:color w:val="0d0d0d" w:themeColor="text1" w:themeTint="F2"/>
          <w:sz w:val="22"/>
          <w:szCs w:val="22"/>
        </w:rPr>
      </w:r>
    </w:p>
    <w:p>
      <w:pPr>
        <w:widowControl w:val="false"/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5.8. Исполнитель должен отчитаться перед представителем Заказчика о проведении и результатах проверки работы охранников на Объектах по первому требованию.</w:t>
      </w:r>
      <w:r>
        <w:rPr>
          <w:color w:val="0d0d0d" w:themeColor="text1" w:themeTint="F2"/>
          <w:sz w:val="22"/>
          <w:szCs w:val="22"/>
        </w:rPr>
      </w:r>
    </w:p>
    <w:p>
      <w:pPr>
        <w:widowControl w:val="false"/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5.9. Исполнитель должен обеспечивать периодический обмен информацией (не реже одного раза в неделю) с руководителем Заказчика либо</w:t>
      </w:r>
      <w:r>
        <w:rPr>
          <w:color w:val="0d0d0d" w:themeColor="text1" w:themeTint="F2"/>
          <w:sz w:val="22"/>
          <w:szCs w:val="22"/>
        </w:rPr>
        <w:t xml:space="preserve"> уполномоченным им должностным лицом, отвечающим за вопросы безопасности и антитеррористической защищенности, по вопросам обеспечения охраны объекта, имеющихся, либо потенциальных рисков возникновения угроз, связанных с охраной образовательной организации.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5.10. В функции охранника входит: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- осуществление внутриобъектового и пропускного режимов на Объекте, организация санкционированного допуска, ведение записей в специальном журнале регистрации посетителей;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- исключение фактов бесконтрольного пребывания на объектах (территориях) посторонних лиц и нахождения транспортных средств на объектах (территориях) и или в непосредственной близости от них;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- наблюдение за посетителями</w:t>
      </w:r>
      <w:r>
        <w:rPr>
          <w:bCs/>
          <w:color w:val="0d0d0d" w:themeColor="text1" w:themeTint="F2"/>
          <w:sz w:val="22"/>
          <w:szCs w:val="22"/>
        </w:rPr>
        <w:t xml:space="preserve"> и их действиями, пресечение любых противоправных действий посетителей;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осуществление контроля за вносимыми и выносимыми с Объекта материальными ценностями;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контроль за соблюдением правил пожарной безопасности со стороны сотрудников и посетителей;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оперативное информирование ответственных лиц Заказчика обо всех выявленных в ходе осуществления охраны обстоятельствах, которые могут отрицательно повлиять на безопасность Объекта, имущества Заказчика, сотрудников на Объекте;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обеспечение ежедневного обхода и осмотра потенциально опасных объектов (территорий), 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периодическая проверка (обход и осмотр) зданий (сооружений) и территории со складскими и подсобными помещениями;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осуществления контроля состояния помещений, используемых для проведения мероприятий с массовым участием обучающихся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5.11. Охранник обязан: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 xml:space="preserve">- соблюдать требования должностной инструкции охранника образовательной организации;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соблюдать правила внутреннего распорядка на Объекте, в рабочие дни организовывать перерыв на обед по согласованию с Заказчиком;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бережно относиться к имуществу Заказчика;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не допускать беспорядка на посту охраны;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иметь опрятный внешний вид, вести себя вежливо и корректно в отношении сотрудников и посетителей;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соблюдать правила пожарной безопасности, электробезопасности, техники безопасности;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соблюдать требования вводимые в период проведения санитарно-противоэпидемических (профилакти</w:t>
      </w:r>
      <w:r>
        <w:rPr>
          <w:bCs/>
          <w:color w:val="0d0d0d" w:themeColor="text1" w:themeTint="F2"/>
          <w:sz w:val="22"/>
          <w:szCs w:val="22"/>
        </w:rPr>
        <w:t xml:space="preserve">ческих) мероприятий по предотвращению эпидемического распространения инфекционных болезней в соответствии с Федеральным законом от 17.09.1998 № 157-ФЗ «Об иммунопрофилактике инфекционных болезней» и другими нормативно-правовыми актами Российской Федерации;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иметь личную карточку охранника, выда</w:t>
      </w:r>
      <w:r>
        <w:rPr>
          <w:bCs/>
          <w:color w:val="0d0d0d" w:themeColor="text1" w:themeTint="F2"/>
          <w:sz w:val="22"/>
          <w:szCs w:val="22"/>
        </w:rPr>
        <w:t xml:space="preserve">нную федеральным органом исполнительной власти, уполномоченным в сфере частной охранной деятельности, или его территориальным органом в порядке, установленном федеральным органом исполнительной власти, уполномоченным в сфере частной охранной деятельности. 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5.12. Охраннику запрещается: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567"/>
          <w:tab w:val="left" w:leader="none" w:pos="709"/>
          <w:tab w:val="left" w:leader="none" w:pos="851"/>
        </w:tabs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 xml:space="preserve">- покидать пост в отсутствие сменщика;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567"/>
          <w:tab w:val="left" w:leader="none" w:pos="709"/>
          <w:tab w:val="left" w:leader="none" w:pos="851"/>
        </w:tabs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 xml:space="preserve">- спать на посту в рабочее время;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tabs>
          <w:tab w:val="left" w:leader="none" w:pos="567"/>
          <w:tab w:val="left" w:leader="none" w:pos="709"/>
          <w:tab w:val="left" w:leader="none" w:pos="851"/>
        </w:tabs>
        <w:spacing w:after="0"/>
        <w:ind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 xml:space="preserve">- заступать на пост или находиться на посту в состоянии алкогольного или наркотического опьянения.</w:t>
      </w:r>
      <w:r>
        <w:rPr>
          <w:bCs/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5.13. </w:t>
      </w:r>
      <w:r>
        <w:rPr>
          <w:color w:val="0d0d0d" w:themeColor="text1" w:themeTint="F2"/>
          <w:sz w:val="22"/>
          <w:szCs w:val="22"/>
        </w:rPr>
        <w:t xml:space="preserve">Исполнитель несет полную материальную ответственность за ущерб, причиненный вследствие его действий или бездействия, Заказчику и/или третьим лицам.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5.14. Исполнитель несет ответственность за разглашение информации, содержащейся в акте обследования и категорирования объекта (территории)</w:t>
      </w:r>
      <w:r>
        <w:rPr>
          <w:color w:val="0d0d0d" w:themeColor="text1" w:themeTint="F2"/>
          <w:sz w:val="22"/>
          <w:szCs w:val="22"/>
        </w:rPr>
        <w:t xml:space="preserve">, паспорте безопасности объекта (территории) а также в перечне мероприятий по обеспечению антитеррористической защищенности объекта (территории), ставшей известной в процессе исполнения обязательств, в соответствии с законодательством Российской Федерации.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5.15. Исполнитель обязан утвердить и согласовать с Заказчиком должностную инструкцию охранника образовательной организации;</w:t>
      </w:r>
      <w:r>
        <w:rPr>
          <w:color w:val="0d0d0d" w:themeColor="text1" w:themeTint="F2"/>
          <w:sz w:val="22"/>
          <w:szCs w:val="22"/>
        </w:rPr>
      </w:r>
    </w:p>
    <w:p>
      <w:pPr>
        <w:pBdr/>
        <w:spacing w:after="0"/>
        <w:ind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5.16. Исполнитель обязан соблюдать требования Положения о пропускном и внутриобъектовом режимах. </w:t>
      </w:r>
      <w:r>
        <w:rPr>
          <w:color w:val="0d0d0d" w:themeColor="text1" w:themeTint="F2"/>
          <w:sz w:val="22"/>
          <w:szCs w:val="22"/>
        </w:rPr>
      </w:r>
    </w:p>
    <w:p>
      <w:pPr>
        <w:pStyle w:val="1049"/>
        <w:pBdr/>
        <w:tabs>
          <w:tab w:val="left" w:leader="none" w:pos="426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6.</w:t>
      </w:r>
      <w:r>
        <w:rPr>
          <w:rFonts w:ascii="Times New Roman" w:hAnsi="Times New Roman" w:eastAsia="Times New Roman" w:cs="Times New Roman"/>
          <w:b/>
          <w:color w:val="000000"/>
        </w:rPr>
        <w:t xml:space="preserve">Общие требования к </w:t>
      </w:r>
      <w:r>
        <w:rPr>
          <w:rFonts w:ascii="Times New Roman" w:hAnsi="Times New Roman" w:eastAsia="Times New Roman" w:cs="Times New Roman"/>
          <w:b/>
          <w:color w:val="000000"/>
        </w:rPr>
        <w:t xml:space="preserve">качеству</w:t>
      </w:r>
      <w:r>
        <w:rPr>
          <w:rFonts w:ascii="Times New Roman" w:hAnsi="Times New Roman" w:eastAsia="Times New Roman" w:cs="Times New Roman"/>
          <w:b/>
          <w:color w:val="000000"/>
        </w:rPr>
        <w:t xml:space="preserve"> Услуг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pBdr/>
        <w:tabs>
          <w:tab w:val="left" w:leader="none" w:pos="426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Услуги должны соответствовать требованиям следующих нормативно-правовых актов Российской Федерации: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Конституции Российской Федерации;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Закона Российской Федерации </w:t>
      </w:r>
      <w:r>
        <w:rPr>
          <w:rFonts w:ascii="Times New Roman" w:hAnsi="Times New Roman" w:eastAsia="Times New Roman" w:cs="Times New Roman"/>
          <w:color w:val="000000"/>
        </w:rPr>
        <w:t xml:space="preserve">от 30.11.2024 № 427-ФЗ «О частной охранной деятельности»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Федеральный закон от 30.11.2024 № 427-ФЗ «О частной охранной деятельности»;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Федерального закона от 06.03.2006 № 35-ФЗ «О противодействии терроризму».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Федерального закона от 04.05.2011 № 99-ФЗ «О лицензировании отдельных видов деятельности»;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Постановление Правительства РФ от 23.06.2026 № 781 «Об утверждении Положения о лицензировании частной охранной деятельности»;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ГОСТ Р 59044-2020. «Национальный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требования».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Приказа Федеральной службы войск национальной гвардии РФ от 01.06.2020 г. № 149 «Об утверждении типового Контракта на оказание охранных услуг и информационной карты типового Контракта на оказание охранных услуг».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Приказ Министе</w:t>
      </w:r>
      <w:r>
        <w:rPr>
          <w:rFonts w:ascii="Times New Roman" w:hAnsi="Times New Roman" w:eastAsia="Times New Roman" w:cs="Times New Roman"/>
          <w:color w:val="000000"/>
        </w:rPr>
        <w:t xml:space="preserve">рства здравоохранения Российской Федерации от 13 апреля 2026 г. № 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</w:t>
      </w:r>
      <w:r>
        <w:rPr>
          <w:rFonts w:ascii="Times New Roman" w:hAnsi="Times New Roman" w:eastAsia="Times New Roman" w:cs="Times New Roman"/>
          <w:color w:val="000000"/>
        </w:rPr>
        <w:t xml:space="preserve">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</w:t>
      </w:r>
      <w:r>
        <w:rPr>
          <w:rFonts w:ascii="Times New Roman" w:hAnsi="Times New Roman" w:eastAsia="Times New Roman" w:cs="Times New Roman"/>
          <w:color w:val="000000"/>
        </w:rPr>
        <w:t xml:space="preserve">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</w:t>
      </w:r>
      <w:r>
        <w:rPr>
          <w:rFonts w:ascii="Times New Roman" w:hAnsi="Times New Roman" w:eastAsia="Times New Roman" w:cs="Times New Roman"/>
          <w:color w:val="000000"/>
        </w:rPr>
        <w:t xml:space="preserve">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 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Приказа Минздрава России от 28.01.2021 № 29н «Об утверждении Порядка проведения обязательных предварительных и периодических осмотров работников, предусмотренных частью четвертой статьи 213 Трудового кодекса</w:t>
      </w:r>
      <w:r>
        <w:rPr>
          <w:rFonts w:ascii="Times New Roman" w:hAnsi="Times New Roman" w:eastAsia="Times New Roman" w:cs="Times New Roman"/>
          <w:color w:val="000000"/>
        </w:rPr>
        <w:t xml:space="preserve">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должностной инструкции частного охранника на объекте охраны, разработанной Исполнителем в соответствии с типовыми требованиями к должностной инструкции частного охранника на объекте охраны, утвержденными приказ </w:t>
      </w:r>
      <w:r>
        <w:rPr>
          <w:rFonts w:ascii="Times New Roman" w:hAnsi="Times New Roman" w:eastAsia="Times New Roman" w:cs="Times New Roman"/>
          <w:color w:val="000000"/>
        </w:rPr>
        <w:t xml:space="preserve">Росгвардии</w:t>
      </w:r>
      <w:r>
        <w:rPr>
          <w:rFonts w:ascii="Times New Roman" w:hAnsi="Times New Roman" w:eastAsia="Times New Roman" w:cs="Times New Roman"/>
          <w:color w:val="000000"/>
        </w:rPr>
        <w:t xml:space="preserve"> от 2 октября 2025 г. № 358 «Об ут</w:t>
      </w:r>
      <w:r>
        <w:rPr>
          <w:rFonts w:ascii="Times New Roman" w:hAnsi="Times New Roman" w:eastAsia="Times New Roman" w:cs="Times New Roman"/>
          <w:color w:val="000000"/>
        </w:rPr>
        <w:t xml:space="preserve">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000000"/>
        </w:rPr>
        <w:t xml:space="preserve">Действующие лицензии на осуществление частной охранной деятельности на участие в конкурсе </w:t>
      </w:r>
      <w:r>
        <w:rPr>
          <w:rFonts w:ascii="Times New Roman" w:hAnsi="Times New Roman" w:eastAsia="Times New Roman" w:cs="Times New Roman"/>
          <w:color w:val="000000"/>
        </w:rPr>
        <w:t xml:space="preserve">(Федеральный закон от 30.11.2024 № 427-ФЗ «О частной охранной деятельности», </w:t>
      </w:r>
      <w:bookmarkStart w:id="0" w:name="_Hlk238737585"/>
      <w:r>
        <w:rPr>
          <w:rFonts w:ascii="Times New Roman" w:hAnsi="Times New Roman" w:eastAsia="Times New Roman" w:cs="Times New Roman"/>
          <w:color w:val="000000"/>
        </w:rPr>
        <w:t xml:space="preserve">постановление </w:t>
      </w:r>
      <w:r>
        <w:rPr>
          <w:rFonts w:ascii="Times New Roman" w:hAnsi="Times New Roman" w:eastAsia="Times New Roman" w:cs="Times New Roman"/>
          <w:bCs/>
          <w:color w:val="000000"/>
        </w:rPr>
        <w:t xml:space="preserve">Правительства РФ от 23.06.2026 № 781 — утверждает Положение о лицензировании частной охранной деятельности;</w:t>
      </w:r>
      <w:bookmarkEnd w:id="0"/>
      <w:r>
        <w:rPr>
          <w:rFonts w:ascii="Times New Roman" w:hAnsi="Times New Roman" w:eastAsia="Times New Roman" w:cs="Times New Roman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иных нормативных правовых актов Российской Федерации, регламентирующих вопросы частной охранной деятельности;</w:t>
      </w:r>
      <w:r>
        <w:rPr>
          <w:rFonts w:ascii="Times New Roman" w:hAnsi="Times New Roman" w:eastAsia="Times New Roman" w:cs="Times New Roman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</w:rPr>
        <w:t xml:space="preserve">иного </w:t>
      </w:r>
      <w:r>
        <w:rPr>
          <w:rFonts w:ascii="Times New Roman" w:hAnsi="Times New Roman" w:eastAsia="Times New Roman" w:cs="Times New Roman"/>
          <w:color w:val="000000"/>
        </w:rPr>
        <w:t xml:space="preserve">законодательства Российской Федерации;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numPr>
          <w:ilvl w:val="0"/>
          <w:numId w:val="11"/>
        </w:numPr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настоящего Технического задания и условий договора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pBdr/>
        <w:tabs>
          <w:tab w:val="left" w:leader="none" w:pos="0"/>
          <w:tab w:val="left" w:leader="none" w:pos="426"/>
          <w:tab w:val="left" w:leader="none" w:pos="993"/>
        </w:tabs>
        <w:spacing w:after="0"/>
        <w:ind w:left="0"/>
        <w:rPr>
          <w:rFonts w:ascii="Times New Roman" w:hAnsi="Times New Roman" w:eastAsia="Times New Roman" w:cs="Times New Roman"/>
          <w:b/>
          <w:bCs/>
          <w:color w:val="000000"/>
        </w:rPr>
      </w:pPr>
      <w:r>
        <w:rPr>
          <w:rFonts w:ascii="Times New Roman" w:hAnsi="Times New Roman" w:eastAsia="Times New Roman" w:cs="Times New Roman"/>
          <w:b/>
          <w:bCs/>
          <w:color w:val="000000"/>
        </w:rPr>
        <w:t xml:space="preserve">7</w:t>
      </w:r>
      <w:r>
        <w:rPr>
          <w:rFonts w:ascii="Times New Roman" w:hAnsi="Times New Roman" w:eastAsia="Times New Roman" w:cs="Times New Roman"/>
          <w:b/>
          <w:bCs/>
          <w:color w:val="000000"/>
        </w:rPr>
        <w:t xml:space="preserve">. Порядок сдачи и приемки результатов услуг: </w:t>
      </w:r>
      <w:r>
        <w:rPr>
          <w:rFonts w:ascii="Times New Roman" w:hAnsi="Times New Roman" w:eastAsia="Times New Roman" w:cs="Times New Roman"/>
          <w:b/>
          <w:bCs/>
          <w:color w:val="000000"/>
        </w:rPr>
      </w:r>
    </w:p>
    <w:p>
      <w:pPr>
        <w:pStyle w:val="1049"/>
        <w:pBdr/>
        <w:tabs>
          <w:tab w:val="left" w:leader="none" w:pos="0"/>
          <w:tab w:val="left" w:leader="none" w:pos="426"/>
          <w:tab w:val="left" w:leader="none" w:pos="993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Сдача и приемка услуг осуществляется ежемесячно путем согласования и подписания Сторонами акта сдачи-приемки ока</w:t>
      </w:r>
      <w:r>
        <w:rPr>
          <w:rFonts w:ascii="Times New Roman" w:hAnsi="Times New Roman" w:eastAsia="Times New Roman" w:cs="Times New Roman"/>
          <w:color w:val="000000"/>
        </w:rPr>
        <w:t xml:space="preserve">занных услуг. Услуги признаются оказанными с момента подписания акта сдачи-приемки оказанных услуг. В случае если услуги оказываются в декабре, допускается согласование и подписание акта за первую половину месяца. Заказчик, или его уполномоченный представи</w:t>
      </w:r>
      <w:r>
        <w:rPr>
          <w:rFonts w:ascii="Times New Roman" w:hAnsi="Times New Roman" w:eastAsia="Times New Roman" w:cs="Times New Roman"/>
          <w:color w:val="000000"/>
        </w:rPr>
        <w:t xml:space="preserve">тель, в течение десяти рабочих дней с момента получения акта проверяет достоверность сведений и подписывает акт сдачи-приемки оказанных услуг, в случае несогласия возвращает Исполнителю неподписанным с сопроводительным письмом и указанием своих возражений.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1049"/>
        <w:pBdr/>
        <w:tabs>
          <w:tab w:val="left" w:leader="none" w:pos="360"/>
        </w:tabs>
        <w:spacing w:after="0" w:line="240" w:lineRule="auto"/>
        <w:ind w:hanging="360" w:left="36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8.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Требования к гарантийному сроку услуг и (или) объему предоставления гарантий их качества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8.1 </w:t>
      </w:r>
      <w:r>
        <w:rPr>
          <w:rFonts w:ascii="Times New Roman" w:hAnsi="Times New Roman" w:eastAsia="Times New Roman" w:cs="Times New Roman"/>
          <w:lang w:eastAsia="ru-RU"/>
        </w:rPr>
        <w:t xml:space="preserve">Гарантийный срок на оказание услуг распространяется на весь период действия </w:t>
      </w:r>
      <w:r>
        <w:rPr>
          <w:rFonts w:ascii="Times New Roman" w:hAnsi="Times New Roman" w:eastAsia="Times New Roman" w:cs="Times New Roman"/>
          <w:color w:val="000000"/>
        </w:rPr>
        <w:t xml:space="preserve">договор</w:t>
      </w:r>
      <w:r>
        <w:rPr>
          <w:rFonts w:ascii="Times New Roman" w:hAnsi="Times New Roman" w:eastAsia="Times New Roman" w:cs="Times New Roman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pBdr/>
        <w:tabs>
          <w:tab w:val="left" w:leader="none" w:pos="360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8.2 </w:t>
      </w:r>
      <w:r>
        <w:rPr>
          <w:rFonts w:ascii="Times New Roman" w:hAnsi="Times New Roman" w:eastAsia="Times New Roman" w:cs="Times New Roman"/>
          <w:lang w:eastAsia="ru-RU"/>
        </w:rPr>
        <w:t xml:space="preserve">Стороны несут ответственность в пределах причинённого ущерба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pBdr/>
        <w:tabs>
          <w:tab w:val="left" w:leader="none" w:pos="360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8.3 </w:t>
      </w:r>
      <w:r>
        <w:rPr>
          <w:rFonts w:ascii="Times New Roman" w:hAnsi="Times New Roman" w:eastAsia="Times New Roman" w:cs="Times New Roman"/>
          <w:lang w:eastAsia="ru-RU"/>
        </w:rPr>
        <w:t xml:space="preserve">Исполнитель несёт материальную ответственность за ущерб, причиненный в результате: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6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6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уничтожение или повреждение имущества лицами, проникшими на охраняемый объект в результате ненадлежащего выполнения Испо</w:t>
      </w:r>
      <w:r>
        <w:rPr>
          <w:rFonts w:ascii="Times New Roman" w:hAnsi="Times New Roman" w:eastAsia="Times New Roman" w:cs="Times New Roman"/>
          <w:lang w:eastAsia="ru-RU"/>
        </w:rPr>
        <w:t xml:space="preserve">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6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vanish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</w:t>
      </w:r>
      <w:r>
        <w:rPr>
          <w:rFonts w:ascii="Times New Roman" w:hAnsi="Times New Roman" w:eastAsia="Times New Roman" w:cs="Times New Roman"/>
          <w:vanish/>
          <w:lang w:eastAsia="ru-RU"/>
        </w:rPr>
      </w:r>
    </w:p>
    <w:p>
      <w:pPr>
        <w:pStyle w:val="1049"/>
        <w:numPr>
          <w:ilvl w:val="1"/>
          <w:numId w:val="19"/>
        </w:numPr>
        <w:pBdr/>
        <w:tabs>
          <w:tab w:val="left" w:leader="none" w:pos="0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Возмещение причинённого по вине Исполнителя ущерба, производится в порядке, установленном законодательством Российской Федерации.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8.4 </w:t>
      </w:r>
      <w:r>
        <w:rPr>
          <w:rFonts w:ascii="Times New Roman" w:hAnsi="Times New Roman" w:eastAsia="Times New Roman" w:cs="Times New Roman"/>
          <w:lang w:eastAsia="ru-RU"/>
        </w:rPr>
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составленных с участие</w:t>
      </w:r>
      <w:r>
        <w:rPr>
          <w:rFonts w:ascii="Times New Roman" w:hAnsi="Times New Roman" w:eastAsia="Times New Roman" w:cs="Times New Roman"/>
          <w:lang w:eastAsia="ru-RU"/>
        </w:rPr>
        <w:t xml:space="preserve">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8.5</w:t>
      </w:r>
      <w:r>
        <w:rPr>
          <w:rFonts w:ascii="Times New Roman" w:hAnsi="Times New Roman" w:eastAsia="Times New Roman" w:cs="Times New Roman"/>
          <w:lang w:eastAsia="ru-RU"/>
        </w:rPr>
        <w:t xml:space="preserve">При возмещении Заказчику похищенных ценностей, присутствие представителя Исполнителя являе</w:t>
      </w:r>
      <w:r>
        <w:rPr>
          <w:rFonts w:ascii="Times New Roman" w:hAnsi="Times New Roman" w:eastAsia="Times New Roman" w:cs="Times New Roman"/>
          <w:lang w:eastAsia="ru-RU"/>
        </w:rPr>
        <w:t xml:space="preserve">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8.6  </w:t>
      </w:r>
      <w:r>
        <w:rPr>
          <w:rFonts w:ascii="Times New Roman" w:hAnsi="Times New Roman" w:eastAsia="Times New Roman" w:cs="Times New Roman"/>
          <w:lang w:eastAsia="ru-RU"/>
        </w:rPr>
        <w:t xml:space="preserve">Претензии</w:t>
      </w:r>
      <w:r>
        <w:rPr>
          <w:rFonts w:ascii="Times New Roman" w:hAnsi="Times New Roman" w:eastAsia="Times New Roman" w:cs="Times New Roman"/>
          <w:lang w:eastAsia="ru-RU"/>
        </w:rPr>
        <w:t xml:space="preserve">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1"/>
          <w:numId w:val="21"/>
        </w:numPr>
        <w:pBdr/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Исполнитель не несёт ответственность в следующих случаях: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7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имущественный ущерб и ущерб, причиненный материальным ценностям стихийными бедствиями;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7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7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оставленное без присмотра личное имущество работников Заказчика, имущество иных лиц;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9"/>
        <w:numPr>
          <w:ilvl w:val="0"/>
          <w:numId w:val="17"/>
        </w:numPr>
        <w:pBdr/>
        <w:tabs>
          <w:tab w:val="left" w:leader="none" w:pos="0"/>
          <w:tab w:val="left" w:leader="none" w:pos="993"/>
        </w:tabs>
        <w:spacing w:after="0" w:line="240" w:lineRule="auto"/>
        <w:ind w:firstLine="0" w:left="0"/>
        <w:jc w:val="both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</w:r>
      <w:r>
        <w:rPr>
          <w:rFonts w:ascii="Times New Roman" w:hAnsi="Times New Roman" w:eastAsia="Times New Roman" w:cs="Times New Roman"/>
          <w:b/>
          <w:bCs/>
          <w:i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Bdr/>
        <w:tabs>
          <w:tab w:val="left" w:leader="none" w:pos="0"/>
        </w:tabs>
        <w:spacing w:after="0"/>
        <w:ind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keepNext w:val="true"/>
        <w:keepLines w:val="true"/>
        <w:pBdr/>
        <w:spacing w:after="0"/>
        <w:ind/>
        <w:contextualSpacing w:val="true"/>
        <w:outlineLvl w:val="4"/>
        <w:rPr>
          <w:rStyle w:val="1019"/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</w:r>
      <w:r>
        <w:rPr>
          <w:rStyle w:val="1019"/>
          <w:color w:val="0d0d0d" w:themeColor="text1" w:themeTint="F2"/>
          <w:sz w:val="22"/>
          <w:szCs w:val="22"/>
        </w:rPr>
      </w:r>
    </w:p>
    <w:sectPr>
      <w:headerReference w:type="even" r:id="rId9"/>
      <w:footerReference w:type="default" r:id="rId10"/>
      <w:footerReference w:type="even" r:id="rId11"/>
      <w:footnotePr/>
      <w:endnotePr/>
      <w:type w:val="nextPage"/>
      <w:pgSz w:h="16838" w:orient="portrait" w:w="11906"/>
      <w:pgMar w:top="720" w:right="720" w:bottom="720" w:left="85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/>
        <w:ind/>
        <w:rPr/>
      </w:pPr>
      <w:r>
        <w:separator/>
      </w:r>
      <w:r/>
    </w:p>
  </w:endnote>
  <w:endnote w:type="continuationSeparator" w:id="0">
    <w:p>
      <w:pPr>
        <w:pBdr/>
        <w:spacing w:after="0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Sylfaen">
    <w:panose1 w:val="010A0502050306030303"/>
  </w:font>
  <w:font w:name="Calibri">
    <w:panose1 w:val="020F0502020204030204"/>
  </w:font>
  <w:font w:name="Courier New">
    <w:panose1 w:val="02070309020205020404"/>
  </w:font>
  <w:font w:name="Tahoma">
    <w:panose1 w:val="020B0604030504040204"/>
  </w:font>
  <w:font w:name="NSimSun">
    <w:panose1 w:val="02010509020102010303"/>
  </w:font>
  <w:font w:name="Arial">
    <w:panose1 w:val="020B0604020202020204"/>
  </w:font>
  <w:font w:name="SimSun">
    <w:panose1 w:val="02000506000000020000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  <w:framePr w:hAnchor="margin" w:vAnchor="text" w:wrap="around" w:xAlign="center" w:y="1"/>
      <w:pBdr/>
      <w:spacing/>
      <w:ind/>
      <w:rPr>
        <w:rStyle w:val="972"/>
        <w:rFonts w:eastAsiaTheme="majorEastAsia"/>
      </w:rPr>
    </w:pPr>
    <w:r>
      <w:rPr>
        <w:rStyle w:val="972"/>
        <w:rFonts w:eastAsiaTheme="majorEastAsia"/>
      </w:rPr>
      <w:fldChar w:fldCharType="begin"/>
    </w:r>
    <w:r>
      <w:rPr>
        <w:rStyle w:val="972"/>
        <w:rFonts w:eastAsiaTheme="majorEastAsia"/>
      </w:rPr>
      <w:instrText xml:space="preserve">PAGE  </w:instrText>
    </w:r>
    <w:r>
      <w:rPr>
        <w:rStyle w:val="972"/>
        <w:rFonts w:eastAsiaTheme="majorEastAsia"/>
      </w:rPr>
      <w:fldChar w:fldCharType="separate"/>
    </w:r>
    <w:r>
      <w:rPr>
        <w:rStyle w:val="972"/>
        <w:rFonts w:eastAsiaTheme="majorEastAsia"/>
      </w:rPr>
      <w:t xml:space="preserve">2</w:t>
    </w:r>
    <w:r>
      <w:rPr>
        <w:rStyle w:val="972"/>
        <w:rFonts w:eastAsiaTheme="majorEastAsia"/>
      </w:rPr>
      <w:fldChar w:fldCharType="end"/>
    </w:r>
    <w:r>
      <w:rPr>
        <w:rStyle w:val="972"/>
        <w:rFonts w:eastAsiaTheme="majorEastAsia"/>
      </w:rPr>
    </w:r>
  </w:p>
  <w:p>
    <w:pPr>
      <w:pStyle w:val="987"/>
      <w:pBdr/>
      <w:tabs>
        <w:tab w:val="right" w:leader="none" w:pos="9840"/>
      </w:tabs>
      <w:spacing/>
      <w:ind w:right="360"/>
      <w:jc w:val="center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  <w:framePr w:hAnchor="margin" w:vAnchor="text" w:wrap="around" w:xAlign="center" w:y="1"/>
      <w:pBdr/>
      <w:spacing/>
      <w:ind/>
      <w:rPr>
        <w:rStyle w:val="972"/>
        <w:rFonts w:eastAsiaTheme="majorEastAsia"/>
      </w:rPr>
    </w:pPr>
    <w:r>
      <w:rPr>
        <w:rStyle w:val="972"/>
        <w:rFonts w:eastAsiaTheme="majorEastAsia"/>
      </w:rPr>
      <w:fldChar w:fldCharType="begin"/>
    </w:r>
    <w:r>
      <w:rPr>
        <w:rStyle w:val="972"/>
        <w:rFonts w:eastAsiaTheme="majorEastAsia"/>
      </w:rPr>
      <w:instrText xml:space="preserve">PAGE  </w:instrText>
    </w:r>
    <w:r>
      <w:rPr>
        <w:rStyle w:val="972"/>
        <w:rFonts w:eastAsiaTheme="majorEastAsia"/>
      </w:rPr>
      <w:fldChar w:fldCharType="end"/>
    </w:r>
    <w:r>
      <w:rPr>
        <w:rStyle w:val="972"/>
        <w:rFonts w:eastAsiaTheme="majorEastAsia"/>
      </w:rPr>
    </w:r>
  </w:p>
  <w:p>
    <w:pPr>
      <w:pStyle w:val="987"/>
      <w:pBdr/>
      <w:spacing/>
      <w:ind w:right="360"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/>
        <w:ind/>
        <w:rPr/>
      </w:pPr>
      <w:r>
        <w:separator/>
      </w:r>
      <w:r/>
    </w:p>
  </w:footnote>
  <w:footnote w:type="continuationSeparator" w:id="0">
    <w:p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  <w:framePr w:hAnchor="margin" w:vAnchor="text" w:wrap="around" w:xAlign="center" w:y="1"/>
      <w:pBdr/>
      <w:spacing/>
      <w:ind/>
      <w:rPr>
        <w:rStyle w:val="972"/>
        <w:rFonts w:eastAsiaTheme="majorEastAsia"/>
      </w:rPr>
    </w:pPr>
    <w:r>
      <w:rPr>
        <w:rStyle w:val="972"/>
        <w:rFonts w:eastAsiaTheme="majorEastAsia"/>
      </w:rPr>
      <w:fldChar w:fldCharType="begin"/>
    </w:r>
    <w:r>
      <w:rPr>
        <w:rStyle w:val="972"/>
        <w:rFonts w:eastAsiaTheme="majorEastAsia"/>
      </w:rPr>
      <w:instrText xml:space="preserve">PAGE  </w:instrText>
    </w:r>
    <w:r>
      <w:rPr>
        <w:rStyle w:val="972"/>
        <w:rFonts w:eastAsiaTheme="majorEastAsia"/>
      </w:rPr>
      <w:fldChar w:fldCharType="end"/>
    </w:r>
    <w:r>
      <w:rPr>
        <w:rStyle w:val="972"/>
        <w:rFonts w:eastAsiaTheme="majorEastAsia"/>
      </w:rPr>
    </w:r>
  </w:p>
  <w:p>
    <w:pPr>
      <w:pStyle w:val="979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1277"/>
        </w:tabs>
        <w:spacing/>
        <w:ind w:hanging="720" w:left="1997"/>
      </w:pPr>
      <w:rPr>
        <w:b w:val="0"/>
        <w:i w:val="0"/>
        <w:strike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</w:abstractNum>
  <w:abstractNum w:abstractNumId="1">
    <w:nsid w:val="00000003"/>
    <w:lvl w:ilvl="0">
      <w:isLgl w:val="false"/>
      <w:lvlJc w:val="left"/>
      <w:lvlText w:val="-"/>
      <w:numFmt w:val="bullet"/>
      <w:pPr>
        <w:pBdr/>
        <w:tabs>
          <w:tab w:val="num" w:leader="none" w:pos="2269"/>
        </w:tabs>
        <w:spacing/>
        <w:ind w:hanging="360" w:left="3556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269"/>
        </w:tabs>
        <w:spacing/>
        <w:ind w:hanging="360" w:left="4276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269"/>
        </w:tabs>
        <w:spacing/>
        <w:ind w:hanging="360" w:left="4996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269"/>
        </w:tabs>
        <w:spacing/>
        <w:ind w:hanging="360" w:left="5716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2269"/>
        </w:tabs>
        <w:spacing/>
        <w:ind w:hanging="360" w:left="6436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2269"/>
        </w:tabs>
        <w:spacing/>
        <w:ind w:hanging="360" w:left="7156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269"/>
        </w:tabs>
        <w:spacing/>
        <w:ind w:hanging="360" w:left="7876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2269"/>
        </w:tabs>
        <w:spacing/>
        <w:ind w:hanging="360" w:left="8596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2269"/>
        </w:tabs>
        <w:spacing/>
        <w:ind w:hanging="360" w:left="9316"/>
      </w:pPr>
      <w:rPr>
        <w:rFonts w:ascii="Wingdings" w:hAnsi="Wingdings" w:cs="Wingdings"/>
      </w:rPr>
      <w:start w:val="1"/>
      <w:suff w:val="tab"/>
    </w:lvl>
  </w:abstractNum>
  <w:abstractNum w:abstractNumId="2">
    <w:nsid w:val="00000004"/>
    <w:lvl w:ilvl="0">
      <w:isLgl w:val="false"/>
      <w:lvlJc w:val="left"/>
      <w:lvlText w:val="-"/>
      <w:numFmt w:val="bullet"/>
      <w:pPr>
        <w:pBdr/>
        <w:tabs>
          <w:tab w:val="num" w:leader="none" w:pos="-76"/>
        </w:tabs>
        <w:spacing/>
        <w:ind w:hanging="360" w:left="1211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ascii="Wingdings" w:hAnsi="Wingdings" w:cs="Wingdings"/>
      </w:rPr>
      <w:start w:val="1"/>
      <w:suff w:val="tab"/>
    </w:lvl>
  </w:abstractNum>
  <w:abstractNum w:abstractNumId="3">
    <w:nsid w:val="00000005"/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1287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ascii="Wingdings" w:hAnsi="Wingdings" w:cs="Wingdings"/>
      </w:rPr>
      <w:start w:val="1"/>
      <w:suff w:val="tab"/>
    </w:lvl>
  </w:abstractNum>
  <w:abstractNum w:abstractNumId="4">
    <w:nsid w:val="00000006"/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1429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ascii="Wingdings" w:hAnsi="Wingdings" w:cs="Wingdings"/>
      </w:rPr>
      <w:start w:val="1"/>
      <w:suff w:val="tab"/>
    </w:lvl>
  </w:abstractNum>
  <w:abstractNum w:abstractNumId="5">
    <w:nsid w:val="00000007"/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1429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ascii="Wingdings" w:hAnsi="Wingdings" w:cs="Wingdings"/>
      </w:rPr>
      <w:start w:val="1"/>
      <w:suff w:val="tab"/>
    </w:lvl>
  </w:abstractNum>
  <w:abstractNum w:abstractNumId="6">
    <w:nsid w:val="00000008"/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720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7">
    <w:nsid w:val="0000000A"/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720"/>
      </w:pPr>
      <w:rPr>
        <w:rFonts w:ascii="Sylfaen" w:hAnsi="Sylfaen" w:cs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8">
    <w:nsid w:val="0E674A3A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9">
    <w:nsid w:val="0EBD2B36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  <w:color w:val="auto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  <w:color w:val="auto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>
        <w:rFonts w:hint="default"/>
        <w:color w:val="auto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440" w:left="1440"/>
      </w:pPr>
      <w:rPr>
        <w:rFonts w:hint="default"/>
        <w:color w:val="auto"/>
      </w:rPr>
      <w:start w:val="1"/>
      <w:suff w:val="tab"/>
    </w:lvl>
  </w:abstractNum>
  <w:abstractNum w:abstractNumId="10">
    <w:nsid w:val="14470EDB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 w:ascii="Times New Roman" w:hAnsi="Times New Roman" w:cs="Times New Roman"/>
        <w:b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360" w:left="512"/>
      </w:pPr>
      <w:rPr>
        <w:rFonts w:hint="default"/>
      </w:rPr>
      <w:start w:val="2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232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1592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312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2672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3392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440" w:left="3752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4472"/>
      </w:pPr>
      <w:rPr>
        <w:rFonts w:hint="default"/>
      </w:rPr>
      <w:start w:val="1"/>
      <w:suff w:val="tab"/>
    </w:lvl>
  </w:abstractNum>
  <w:abstractNum w:abstractNumId="11">
    <w:nsid w:val="1E0967C9"/>
    <w:lvl w:ilvl="0">
      <w:isLgl w:val="false"/>
      <w:lvlJc w:val="left"/>
      <w:lvlText w:val="%1."/>
      <w:numFmt w:val="decimal"/>
      <w:pPr>
        <w:pBdr/>
        <w:tabs>
          <w:tab w:val="left" w:leader="none" w:pos="567"/>
        </w:tabs>
        <w:spacing/>
        <w:ind w:hanging="567" w:left="567"/>
      </w:pPr>
      <w:pStyle w:val="1001"/>
      <w:rPr/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left" w:leader="none" w:pos="567"/>
        </w:tabs>
        <w:spacing/>
        <w:ind w:hanging="567" w:left="567"/>
      </w:pPr>
      <w:pStyle w:val="974"/>
      <w:rPr/>
      <w:start w:val="1"/>
      <w:suff w:val="tab"/>
    </w:lvl>
    <w:lvl w:ilvl="2">
      <w:isLgl w:val="false"/>
      <w:lvlJc w:val="left"/>
      <w:lvlText w:val="%1.%2.%3"/>
      <w:numFmt w:val="none"/>
      <w:pPr>
        <w:pBdr/>
        <w:tabs>
          <w:tab w:val="left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left" w:leader="none" w:pos="864"/>
        </w:tabs>
        <w:spacing/>
        <w:ind w:hanging="864" w:left="86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left" w:leader="none" w:pos="1008"/>
        </w:tabs>
        <w:spacing/>
        <w:ind w:hanging="1008" w:left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left" w:leader="none" w:pos="1152"/>
        </w:tabs>
        <w:spacing/>
        <w:ind w:hanging="1152" w:left="1152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left" w:leader="none" w:pos="1296"/>
        </w:tabs>
        <w:spacing/>
        <w:ind w:hanging="1296" w:left="1296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1584"/>
        </w:tabs>
        <w:spacing/>
        <w:ind w:hanging="1584" w:left="1584"/>
      </w:pPr>
      <w:rPr/>
      <w:start w:val="1"/>
      <w:suff w:val="tab"/>
    </w:lvl>
  </w:abstractNum>
  <w:abstractNum w:abstractNumId="12">
    <w:nsid w:val="239670B6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  <w:b/>
      </w:rPr>
      <w:start w:val="5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abstractNum w:abstractNumId="13">
    <w:nsid w:val="23C028A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345B497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</w:rPr>
      <w:start w:val="6"/>
      <w:suff w:val="tab"/>
    </w:lvl>
    <w:lvl w:ilvl="1">
      <w:isLgl w:val="true"/>
      <w:lvlJc w:val="left"/>
      <w:lvlText w:val="%1.%2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</w:abstractNum>
  <w:abstractNum w:abstractNumId="15">
    <w:nsid w:val="50EA5F6A"/>
    <w:lvl w:ilvl="0">
      <w:isLgl w:val="false"/>
      <w:lvlJc w:val="left"/>
      <w:lvlText w:val="%1."/>
      <w:numFmt w:val="decimal"/>
      <w:pPr>
        <w:pBdr/>
        <w:tabs>
          <w:tab w:val="left" w:leader="none" w:pos="1070"/>
        </w:tabs>
        <w:spacing/>
        <w:ind w:hanging="360" w:left="107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left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left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left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6480"/>
        </w:tabs>
        <w:spacing/>
        <w:ind w:hanging="180" w:left="6480"/>
      </w:pPr>
      <w:rPr/>
      <w:start w:val="1"/>
      <w:suff w:val="tab"/>
    </w:lvl>
  </w:abstractNum>
  <w:abstractNum w:abstractNumId="16">
    <w:nsid w:val="639C1BB8"/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  <w:b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7">
    <w:nsid w:val="6A6E4B8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6BEC059B"/>
    <w:lvl w:ilvl="0">
      <w:isLgl w:val="false"/>
      <w:lvlJc w:val="left"/>
      <w:lvlText w:val="%1)"/>
      <w:numFmt w:val="decimal"/>
      <w:pPr>
        <w:pBdr/>
        <w:spacing/>
        <w:ind w:hanging="360" w:left="4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80"/>
      </w:pPr>
      <w:rPr/>
      <w:start w:val="1"/>
      <w:suff w:val="tab"/>
    </w:lvl>
  </w:abstractNum>
  <w:abstractNum w:abstractNumId="19">
    <w:nsid w:val="778B5FEB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8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720"/>
      </w:pPr>
      <w:rPr>
        <w:rFonts w:hint="default"/>
      </w:rPr>
      <w:start w:val="7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39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abstractNum w:abstractNumId="20">
    <w:nsid w:val="7A3215D7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  <w:b/>
        <w:color w:val="auto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7"/>
  </w:num>
  <w:num w:numId="5">
    <w:abstractNumId w:val="10"/>
  </w:num>
  <w:num w:numId="6">
    <w:abstractNumId w:val="18"/>
  </w:num>
  <w:num w:numId="7">
    <w:abstractNumId w:val="20"/>
  </w:num>
  <w:num w:numId="8">
    <w:abstractNumId w:val="8"/>
  </w:num>
  <w:num w:numId="9">
    <w:abstractNumId w:val="16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12"/>
  </w:num>
  <w:num w:numId="19">
    <w:abstractNumId w:val="14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4">
    <w:name w:val="Heading 5 Char"/>
    <w:basedOn w:val="802"/>
    <w:link w:val="7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02"/>
    <w:link w:val="79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02"/>
    <w:link w:val="79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02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02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2">
    <w:name w:val="Subtitle Char"/>
    <w:basedOn w:val="802"/>
    <w:link w:val="94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802"/>
    <w:link w:val="94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802"/>
    <w:link w:val="9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85">
    <w:name w:val="Endnote Text Char"/>
    <w:basedOn w:val="802"/>
    <w:link w:val="957"/>
    <w:uiPriority w:val="99"/>
    <w:semiHidden/>
    <w:pPr>
      <w:pBdr/>
      <w:spacing/>
      <w:ind/>
    </w:pPr>
    <w:rPr>
      <w:sz w:val="20"/>
      <w:szCs w:val="20"/>
    </w:rPr>
  </w:style>
  <w:style w:type="paragraph" w:styleId="792" w:default="1">
    <w:name w:val="Normal"/>
    <w:qFormat/>
    <w:pPr>
      <w:pBdr/>
      <w:spacing w:after="60"/>
      <w:ind/>
      <w:jc w:val="both"/>
    </w:pPr>
    <w:rPr>
      <w:rFonts w:eastAsia="Times New Roman"/>
      <w:sz w:val="24"/>
      <w:szCs w:val="24"/>
    </w:rPr>
  </w:style>
  <w:style w:type="paragraph" w:styleId="793">
    <w:name w:val="Heading 1"/>
    <w:basedOn w:val="792"/>
    <w:next w:val="792"/>
    <w:link w:val="994"/>
    <w:qFormat/>
    <w:pPr>
      <w:pageBreakBefore w:val="true"/>
      <w:pBdr/>
      <w:shd w:val="clear" w:color="auto" w:fill="ffffff"/>
      <w:spacing w:after="144" w:line="242" w:lineRule="atLeast"/>
      <w:ind/>
      <w:outlineLvl w:val="0"/>
    </w:pPr>
    <w:rPr>
      <w:szCs w:val="20"/>
    </w:rPr>
  </w:style>
  <w:style w:type="paragraph" w:styleId="794">
    <w:name w:val="Heading 2"/>
    <w:basedOn w:val="792"/>
    <w:next w:val="792"/>
    <w:link w:val="995"/>
    <w:qFormat/>
    <w:pPr>
      <w:keepNext w:val="true"/>
      <w:widowControl w:val="false"/>
      <w:pBdr/>
      <w:spacing w:after="0"/>
      <w:ind/>
      <w:outlineLvl w:val="1"/>
    </w:pPr>
    <w:rPr>
      <w:sz w:val="20"/>
      <w:szCs w:val="20"/>
    </w:rPr>
  </w:style>
  <w:style w:type="paragraph" w:styleId="795">
    <w:name w:val="Heading 3"/>
    <w:basedOn w:val="792"/>
    <w:next w:val="792"/>
    <w:link w:val="998"/>
    <w:qFormat/>
    <w:pPr>
      <w:keepNext w:val="true"/>
      <w:pBdr/>
      <w:spacing w:before="240"/>
      <w:ind/>
      <w:outlineLvl w:val="2"/>
    </w:pPr>
    <w:rPr>
      <w:b/>
    </w:rPr>
  </w:style>
  <w:style w:type="paragraph" w:styleId="796">
    <w:name w:val="Heading 4"/>
    <w:basedOn w:val="792"/>
    <w:next w:val="792"/>
    <w:link w:val="999"/>
    <w:qFormat/>
    <w:pPr>
      <w:keepNext w:val="true"/>
      <w:pBdr/>
      <w:spacing w:before="240"/>
      <w:ind/>
      <w:outlineLvl w:val="3"/>
    </w:pPr>
    <w:rPr>
      <w:szCs w:val="20"/>
    </w:rPr>
  </w:style>
  <w:style w:type="paragraph" w:styleId="797">
    <w:name w:val="Heading 5"/>
    <w:basedOn w:val="792"/>
    <w:next w:val="792"/>
    <w:link w:val="93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98">
    <w:name w:val="Heading 6"/>
    <w:basedOn w:val="792"/>
    <w:next w:val="792"/>
    <w:link w:val="93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9">
    <w:name w:val="Heading 7"/>
    <w:basedOn w:val="792"/>
    <w:next w:val="792"/>
    <w:link w:val="93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00">
    <w:name w:val="Heading 8"/>
    <w:basedOn w:val="792"/>
    <w:next w:val="792"/>
    <w:link w:val="93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01">
    <w:name w:val="Heading 9"/>
    <w:basedOn w:val="792"/>
    <w:next w:val="792"/>
    <w:link w:val="93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02" w:default="1">
    <w:name w:val="Default Paragraph Font"/>
    <w:uiPriority w:val="1"/>
    <w:semiHidden/>
    <w:unhideWhenUsed/>
    <w:pPr>
      <w:pBdr/>
      <w:spacing/>
      <w:ind/>
    </w:pPr>
  </w:style>
  <w:style w:type="table" w:styleId="8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4" w:default="1">
    <w:name w:val="No List"/>
    <w:uiPriority w:val="99"/>
    <w:semiHidden/>
    <w:unhideWhenUsed/>
    <w:pPr>
      <w:pBdr/>
      <w:spacing/>
      <w:ind/>
    </w:pPr>
  </w:style>
  <w:style w:type="table" w:styleId="805" w:customStyle="1">
    <w:name w:val="Table Grid Light"/>
    <w:basedOn w:val="803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1"/>
    <w:basedOn w:val="803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2"/>
    <w:basedOn w:val="803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3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4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5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1 Light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1 Light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1 Light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1 Light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1 Light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1 Light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1 Light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2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2 - Accent 1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2 - Accent 2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2 - Accent 3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2 - Accent 4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2 - Accent 5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2 - Accent 6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3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3 - Accent 1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3 - Accent 2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3 - Accent 3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3 - Accent 4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3 - Accent 5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3 - Accent 6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4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4 - Accent 1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4 - Accent 2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4 - Accent 3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4 - Accent 4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4 - Accent 5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4 - Accent 6"/>
    <w:basedOn w:val="803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5 Dark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5 Dark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5 Dark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5 Dark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5 Dark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5 Dark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5 Dark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6 Colorful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6 Colorful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6 Colorful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6 Colorful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6 Colorful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6 Colorful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6 Colorful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7 Colorful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7 Colorful - Accent 1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7 Colorful - Accent 2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7 Colorful - Accent 3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7 Colorful - Accent 4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7 Colorful - Accent 5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7 Colorful - Accent 6"/>
    <w:basedOn w:val="803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1 Light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1 Light - Accent 1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1 Light - Accent 2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1 Light - Accent 3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1 Light - Accent 4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1 Light - Accent 5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1 Light - Accent 6"/>
    <w:basedOn w:val="80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2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2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2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2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2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2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3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3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3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3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3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3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4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4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4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4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4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4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5 Dark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5 Dark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5 Dark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5 Dark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5 Dark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5 Dark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5 Dark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6 Colorful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6 Colorful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6 Colorful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6 Colorful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6 Colorful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6 Colorful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7 Colorful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7 Colorful - Accent 1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7 Colorful - Accent 2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7 Colorful - Accent 3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7 Colorful - Accent 4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7 Colorful - Accent 5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7 Colorful - Accent 6"/>
    <w:basedOn w:val="803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ned - Accent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ned - Accent 1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ned - Accent 2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 3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ned - Accent 4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ned - Accent 5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ned - Accent 6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&amp; Lined - Accent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&amp; Lined - Accent 1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2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 3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&amp; Lined - Accent 4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&amp; Lined - Accent 5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&amp; Lined - Accent 6"/>
    <w:basedOn w:val="80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- Accent 1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- Accent 2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- Accent 3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- Accent 4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- Accent 5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- Accent 6"/>
    <w:basedOn w:val="803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30" w:customStyle="1">
    <w:name w:val="Heading 1 Char"/>
    <w:basedOn w:val="80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31" w:customStyle="1">
    <w:name w:val="Heading 2 Char"/>
    <w:basedOn w:val="80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32" w:customStyle="1">
    <w:name w:val="Heading 3 Char"/>
    <w:basedOn w:val="80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33" w:customStyle="1">
    <w:name w:val="Heading 4 Char"/>
    <w:basedOn w:val="802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34" w:customStyle="1">
    <w:name w:val="Заголовок 5 Знак"/>
    <w:basedOn w:val="802"/>
    <w:link w:val="79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35" w:customStyle="1">
    <w:name w:val="Заголовок 6 Знак"/>
    <w:basedOn w:val="802"/>
    <w:link w:val="79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6" w:customStyle="1">
    <w:name w:val="Заголовок 7 Знак"/>
    <w:basedOn w:val="802"/>
    <w:link w:val="79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7" w:customStyle="1">
    <w:name w:val="Заголовок 8 Знак"/>
    <w:basedOn w:val="802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8" w:customStyle="1">
    <w:name w:val="Заголовок 9 Знак"/>
    <w:basedOn w:val="802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 w:customStyle="1">
    <w:name w:val="Title Char"/>
    <w:basedOn w:val="80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0">
    <w:name w:val="Subtitle"/>
    <w:basedOn w:val="792"/>
    <w:next w:val="792"/>
    <w:link w:val="94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1" w:customStyle="1">
    <w:name w:val="Подзаголовок Знак"/>
    <w:basedOn w:val="802"/>
    <w:link w:val="94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2">
    <w:name w:val="Quote"/>
    <w:basedOn w:val="792"/>
    <w:next w:val="792"/>
    <w:link w:val="94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3" w:customStyle="1">
    <w:name w:val="Цитата 2 Знак"/>
    <w:basedOn w:val="802"/>
    <w:link w:val="94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4">
    <w:name w:val="Intense Emphasis"/>
    <w:basedOn w:val="802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45">
    <w:name w:val="Intense Quote"/>
    <w:basedOn w:val="792"/>
    <w:next w:val="792"/>
    <w:link w:val="946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46" w:customStyle="1">
    <w:name w:val="Выделенная цитата Знак"/>
    <w:basedOn w:val="802"/>
    <w:link w:val="945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47">
    <w:name w:val="Intense Reference"/>
    <w:basedOn w:val="802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948">
    <w:name w:val="Subtle Emphasis"/>
    <w:basedOn w:val="80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9">
    <w:name w:val="Emphasis"/>
    <w:basedOn w:val="802"/>
    <w:uiPriority w:val="20"/>
    <w:qFormat/>
    <w:pPr>
      <w:pBdr/>
      <w:spacing/>
      <w:ind/>
    </w:pPr>
    <w:rPr>
      <w:i/>
      <w:iCs/>
    </w:rPr>
  </w:style>
  <w:style w:type="character" w:styleId="950">
    <w:name w:val="Strong"/>
    <w:basedOn w:val="802"/>
    <w:uiPriority w:val="22"/>
    <w:qFormat/>
    <w:pPr>
      <w:pBdr/>
      <w:spacing/>
      <w:ind/>
    </w:pPr>
    <w:rPr>
      <w:b/>
      <w:bCs/>
    </w:rPr>
  </w:style>
  <w:style w:type="character" w:styleId="951">
    <w:name w:val="Subtle Reference"/>
    <w:basedOn w:val="80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2">
    <w:name w:val="Book Title"/>
    <w:basedOn w:val="80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3" w:customStyle="1">
    <w:name w:val="Header Char"/>
    <w:basedOn w:val="802"/>
    <w:uiPriority w:val="99"/>
    <w:pPr>
      <w:pBdr/>
      <w:spacing/>
      <w:ind/>
    </w:pPr>
  </w:style>
  <w:style w:type="character" w:styleId="954" w:customStyle="1">
    <w:name w:val="Footer Char"/>
    <w:basedOn w:val="802"/>
    <w:uiPriority w:val="99"/>
    <w:pPr>
      <w:pBdr/>
      <w:spacing/>
      <w:ind/>
    </w:pPr>
  </w:style>
  <w:style w:type="paragraph" w:styleId="955">
    <w:name w:val="Caption"/>
    <w:basedOn w:val="792"/>
    <w:next w:val="792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character" w:styleId="956" w:customStyle="1">
    <w:name w:val="Footnote Text Char"/>
    <w:basedOn w:val="802"/>
    <w:uiPriority w:val="99"/>
    <w:semiHidden/>
    <w:pPr>
      <w:pBdr/>
      <w:spacing/>
      <w:ind/>
    </w:pPr>
    <w:rPr>
      <w:sz w:val="20"/>
      <w:szCs w:val="20"/>
    </w:rPr>
  </w:style>
  <w:style w:type="paragraph" w:styleId="957">
    <w:name w:val="endnote text"/>
    <w:basedOn w:val="792"/>
    <w:link w:val="958"/>
    <w:uiPriority w:val="99"/>
    <w:semiHidden/>
    <w:unhideWhenUsed/>
    <w:pPr>
      <w:pBdr/>
      <w:spacing w:after="0"/>
      <w:ind/>
    </w:pPr>
    <w:rPr>
      <w:sz w:val="20"/>
      <w:szCs w:val="20"/>
    </w:rPr>
  </w:style>
  <w:style w:type="character" w:styleId="958" w:customStyle="1">
    <w:name w:val="Текст концевой сноски Знак"/>
    <w:basedOn w:val="802"/>
    <w:link w:val="957"/>
    <w:uiPriority w:val="99"/>
    <w:semiHidden/>
    <w:pPr>
      <w:pBdr/>
      <w:spacing/>
      <w:ind/>
    </w:pPr>
    <w:rPr>
      <w:sz w:val="20"/>
      <w:szCs w:val="20"/>
    </w:rPr>
  </w:style>
  <w:style w:type="character" w:styleId="959">
    <w:name w:val="endnote reference"/>
    <w:basedOn w:val="802"/>
    <w:uiPriority w:val="99"/>
    <w:semiHidden/>
    <w:unhideWhenUsed/>
    <w:pPr>
      <w:pBdr/>
      <w:spacing/>
      <w:ind/>
    </w:pPr>
    <w:rPr>
      <w:vertAlign w:val="superscript"/>
    </w:rPr>
  </w:style>
  <w:style w:type="paragraph" w:styleId="960">
    <w:name w:val="toc 4"/>
    <w:basedOn w:val="792"/>
    <w:next w:val="792"/>
    <w:uiPriority w:val="39"/>
    <w:unhideWhenUsed/>
    <w:pPr>
      <w:pBdr/>
      <w:spacing w:after="100"/>
      <w:ind w:left="660"/>
    </w:pPr>
  </w:style>
  <w:style w:type="paragraph" w:styleId="961">
    <w:name w:val="toc 5"/>
    <w:basedOn w:val="792"/>
    <w:next w:val="792"/>
    <w:uiPriority w:val="39"/>
    <w:unhideWhenUsed/>
    <w:pPr>
      <w:pBdr/>
      <w:spacing w:after="100"/>
      <w:ind w:left="880"/>
    </w:pPr>
  </w:style>
  <w:style w:type="paragraph" w:styleId="962">
    <w:name w:val="toc 6"/>
    <w:basedOn w:val="792"/>
    <w:next w:val="792"/>
    <w:uiPriority w:val="39"/>
    <w:unhideWhenUsed/>
    <w:pPr>
      <w:pBdr/>
      <w:spacing w:after="100"/>
      <w:ind w:left="1100"/>
    </w:pPr>
  </w:style>
  <w:style w:type="paragraph" w:styleId="963">
    <w:name w:val="toc 7"/>
    <w:basedOn w:val="792"/>
    <w:next w:val="792"/>
    <w:uiPriority w:val="39"/>
    <w:unhideWhenUsed/>
    <w:pPr>
      <w:pBdr/>
      <w:spacing w:after="100"/>
      <w:ind w:left="1320"/>
    </w:pPr>
  </w:style>
  <w:style w:type="paragraph" w:styleId="964">
    <w:name w:val="toc 8"/>
    <w:basedOn w:val="792"/>
    <w:next w:val="792"/>
    <w:uiPriority w:val="39"/>
    <w:unhideWhenUsed/>
    <w:pPr>
      <w:pBdr/>
      <w:spacing w:after="100"/>
      <w:ind w:left="1540"/>
    </w:pPr>
  </w:style>
  <w:style w:type="paragraph" w:styleId="965">
    <w:name w:val="toc 9"/>
    <w:basedOn w:val="792"/>
    <w:next w:val="792"/>
    <w:uiPriority w:val="39"/>
    <w:unhideWhenUsed/>
    <w:pPr>
      <w:pBdr/>
      <w:spacing w:after="100"/>
      <w:ind w:left="1760"/>
    </w:pPr>
  </w:style>
  <w:style w:type="character" w:styleId="966">
    <w:name w:val="Placeholder Text"/>
    <w:basedOn w:val="802"/>
    <w:uiPriority w:val="99"/>
    <w:semiHidden/>
    <w:pPr>
      <w:pBdr/>
      <w:spacing/>
      <w:ind/>
    </w:pPr>
    <w:rPr>
      <w:color w:val="666666"/>
    </w:rPr>
  </w:style>
  <w:style w:type="paragraph" w:styleId="967">
    <w:name w:val="TOC Heading"/>
    <w:uiPriority w:val="39"/>
    <w:unhideWhenUsed/>
    <w:pPr>
      <w:pBdr/>
      <w:spacing/>
      <w:ind/>
    </w:pPr>
  </w:style>
  <w:style w:type="paragraph" w:styleId="968">
    <w:name w:val="table of figures"/>
    <w:basedOn w:val="792"/>
    <w:next w:val="792"/>
    <w:uiPriority w:val="99"/>
    <w:unhideWhenUsed/>
    <w:pPr>
      <w:pBdr/>
      <w:spacing w:after="0"/>
      <w:ind/>
    </w:pPr>
  </w:style>
  <w:style w:type="character" w:styleId="969">
    <w:name w:val="FollowedHyperlink"/>
    <w:basedOn w:val="802"/>
    <w:uiPriority w:val="99"/>
    <w:semiHidden/>
    <w:unhideWhenUsed/>
    <w:qFormat/>
    <w:pPr>
      <w:pBdr/>
      <w:spacing/>
      <w:ind/>
    </w:pPr>
    <w:rPr>
      <w:color w:val="800080" w:themeColor="followedHyperlink"/>
      <w:u w:val="single"/>
    </w:rPr>
  </w:style>
  <w:style w:type="character" w:styleId="970">
    <w:name w:val="footnote reference"/>
    <w:qFormat/>
    <w:pPr>
      <w:pBdr/>
      <w:spacing/>
      <w:ind/>
    </w:pPr>
    <w:rPr>
      <w:vertAlign w:val="superscript"/>
    </w:rPr>
  </w:style>
  <w:style w:type="character" w:styleId="971">
    <w:name w:val="Hyperlink"/>
    <w:qFormat/>
    <w:pPr>
      <w:pBdr/>
      <w:spacing/>
      <w:ind/>
    </w:pPr>
    <w:rPr>
      <w:color w:val="0000ff"/>
      <w:u w:val="single"/>
    </w:rPr>
  </w:style>
  <w:style w:type="character" w:styleId="972">
    <w:name w:val="page number"/>
    <w:semiHidden/>
    <w:qFormat/>
    <w:pPr>
      <w:pBdr/>
      <w:spacing/>
      <w:ind/>
    </w:pPr>
    <w:rPr>
      <w:rFonts w:hint="default" w:ascii="Times New Roman" w:hAnsi="Times New Roman" w:cs="Times New Roman"/>
    </w:rPr>
  </w:style>
  <w:style w:type="paragraph" w:styleId="973">
    <w:name w:val="Balloon Text"/>
    <w:basedOn w:val="792"/>
    <w:link w:val="1025"/>
    <w:uiPriority w:val="99"/>
    <w:semiHidden/>
    <w:unhideWhenUsed/>
    <w:qFormat/>
    <w:pPr>
      <w:pBdr/>
      <w:spacing w:after="0"/>
      <w:ind/>
    </w:pPr>
    <w:rPr>
      <w:rFonts w:ascii="Tahoma" w:hAnsi="Tahoma" w:cs="Tahoma"/>
      <w:sz w:val="16"/>
      <w:szCs w:val="16"/>
    </w:rPr>
  </w:style>
  <w:style w:type="paragraph" w:styleId="974">
    <w:name w:val="Body Text 2"/>
    <w:basedOn w:val="792"/>
    <w:link w:val="1000"/>
    <w:semiHidden/>
    <w:qFormat/>
    <w:pPr>
      <w:numPr>
        <w:ilvl w:val="1"/>
        <w:numId w:val="1"/>
      </w:numPr>
      <w:pBdr/>
      <w:spacing w:after="120" w:line="480" w:lineRule="auto"/>
      <w:ind/>
    </w:pPr>
  </w:style>
  <w:style w:type="paragraph" w:styleId="975">
    <w:name w:val="Plain Text"/>
    <w:basedOn w:val="792"/>
    <w:link w:val="1020"/>
    <w:qFormat/>
    <w:pPr>
      <w:pBdr/>
      <w:spacing w:after="0"/>
      <w:ind/>
      <w:jc w:val="left"/>
    </w:pPr>
    <w:rPr>
      <w:rFonts w:ascii="Courier New" w:hAnsi="Courier New" w:cs="Courier New"/>
      <w:sz w:val="20"/>
      <w:szCs w:val="20"/>
    </w:rPr>
  </w:style>
  <w:style w:type="paragraph" w:styleId="976">
    <w:name w:val="annotation text"/>
    <w:basedOn w:val="792"/>
    <w:link w:val="1035"/>
    <w:uiPriority w:val="99"/>
    <w:semiHidden/>
    <w:unhideWhenUsed/>
    <w:qFormat/>
    <w:pPr>
      <w:pBdr/>
      <w:spacing/>
      <w:ind/>
    </w:pPr>
    <w:rPr>
      <w:sz w:val="20"/>
      <w:szCs w:val="20"/>
    </w:rPr>
  </w:style>
  <w:style w:type="paragraph" w:styleId="977">
    <w:name w:val="annotation subject"/>
    <w:basedOn w:val="976"/>
    <w:next w:val="976"/>
    <w:link w:val="1034"/>
    <w:uiPriority w:val="99"/>
    <w:unhideWhenUsed/>
    <w:qFormat/>
    <w:pPr>
      <w:pBdr/>
      <w:spacing w:after="200"/>
      <w:ind/>
      <w:jc w:val="left"/>
    </w:pPr>
    <w:rPr>
      <w:rFonts w:asciiTheme="minorHAnsi" w:hAnsiTheme="minorHAnsi" w:eastAsiaTheme="minorHAnsi" w:cstheme="minorBidi"/>
      <w:b/>
      <w:bCs/>
      <w:lang w:eastAsia="en-US"/>
    </w:rPr>
  </w:style>
  <w:style w:type="paragraph" w:styleId="978">
    <w:name w:val="footnote text"/>
    <w:basedOn w:val="792"/>
    <w:link w:val="1006"/>
    <w:semiHidden/>
    <w:qFormat/>
    <w:pPr>
      <w:pBdr/>
      <w:spacing w:after="0"/>
      <w:ind/>
      <w:jc w:val="left"/>
    </w:pPr>
    <w:rPr>
      <w:sz w:val="20"/>
      <w:szCs w:val="20"/>
    </w:rPr>
  </w:style>
  <w:style w:type="paragraph" w:styleId="979">
    <w:name w:val="Header"/>
    <w:basedOn w:val="792"/>
    <w:link w:val="1011"/>
    <w:qFormat/>
    <w:pPr>
      <w:pBdr/>
      <w:tabs>
        <w:tab w:val="center" w:leader="none" w:pos="4153"/>
        <w:tab w:val="right" w:leader="none" w:pos="8306"/>
      </w:tabs>
      <w:spacing w:after="120" w:before="120"/>
      <w:ind/>
    </w:pPr>
    <w:rPr>
      <w:rFonts w:ascii="Arial" w:hAnsi="Arial"/>
      <w:szCs w:val="20"/>
    </w:rPr>
  </w:style>
  <w:style w:type="paragraph" w:styleId="980">
    <w:name w:val="Body Text"/>
    <w:basedOn w:val="792"/>
    <w:link w:val="1005"/>
    <w:qFormat/>
    <w:pPr>
      <w:pBdr/>
      <w:spacing w:after="120"/>
      <w:ind/>
    </w:pPr>
  </w:style>
  <w:style w:type="paragraph" w:styleId="981">
    <w:name w:val="toc 1"/>
    <w:basedOn w:val="792"/>
    <w:next w:val="792"/>
    <w:semiHidden/>
    <w:qFormat/>
    <w:pPr>
      <w:pBdr/>
      <w:tabs>
        <w:tab w:val="right" w:leader="dot" w:pos="10195"/>
      </w:tabs>
      <w:spacing w:after="120" w:before="120" w:line="360" w:lineRule="auto"/>
      <w:ind/>
      <w:jc w:val="left"/>
    </w:pPr>
    <w:rPr>
      <w:bCs/>
    </w:rPr>
  </w:style>
  <w:style w:type="paragraph" w:styleId="982">
    <w:name w:val="toc 3"/>
    <w:basedOn w:val="792"/>
    <w:next w:val="792"/>
    <w:uiPriority w:val="39"/>
    <w:unhideWhenUsed/>
    <w:qFormat/>
    <w:pPr>
      <w:pBdr/>
      <w:spacing w:after="100"/>
      <w:ind w:left="480"/>
      <w:jc w:val="left"/>
    </w:pPr>
  </w:style>
  <w:style w:type="paragraph" w:styleId="983">
    <w:name w:val="toc 2"/>
    <w:basedOn w:val="792"/>
    <w:next w:val="792"/>
    <w:uiPriority w:val="39"/>
    <w:semiHidden/>
    <w:unhideWhenUsed/>
    <w:qFormat/>
    <w:pPr>
      <w:pBdr/>
      <w:spacing w:after="100"/>
      <w:ind w:left="240"/>
    </w:pPr>
  </w:style>
  <w:style w:type="paragraph" w:styleId="984">
    <w:name w:val="Date"/>
    <w:basedOn w:val="792"/>
    <w:next w:val="792"/>
    <w:link w:val="1010"/>
    <w:qFormat/>
    <w:pPr>
      <w:pBdr/>
      <w:spacing/>
      <w:ind/>
    </w:pPr>
    <w:rPr>
      <w:szCs w:val="20"/>
    </w:rPr>
  </w:style>
  <w:style w:type="paragraph" w:styleId="985">
    <w:name w:val="Body Text Indent"/>
    <w:basedOn w:val="792"/>
    <w:link w:val="1004"/>
    <w:qFormat/>
    <w:pPr>
      <w:pBdr/>
      <w:spacing w:after="120"/>
      <w:ind w:left="283"/>
    </w:pPr>
  </w:style>
  <w:style w:type="paragraph" w:styleId="986">
    <w:name w:val="Title"/>
    <w:basedOn w:val="792"/>
    <w:link w:val="1017"/>
    <w:qFormat/>
    <w:pPr>
      <w:pBdr/>
      <w:spacing w:before="240"/>
      <w:ind/>
      <w:jc w:val="center"/>
      <w:outlineLvl w:val="0"/>
    </w:pPr>
    <w:rPr>
      <w:rFonts w:ascii="Arial" w:hAnsi="Arial"/>
      <w:b/>
      <w:sz w:val="32"/>
      <w:szCs w:val="20"/>
    </w:rPr>
  </w:style>
  <w:style w:type="paragraph" w:styleId="987">
    <w:name w:val="Footer"/>
    <w:basedOn w:val="792"/>
    <w:link w:val="1027"/>
    <w:uiPriority w:val="99"/>
    <w:unhideWhenUsed/>
    <w:qFormat/>
    <w:pPr>
      <w:pBdr/>
      <w:tabs>
        <w:tab w:val="center" w:leader="none" w:pos="4677"/>
        <w:tab w:val="right" w:leader="none" w:pos="9355"/>
      </w:tabs>
      <w:spacing w:after="0"/>
      <w:ind/>
    </w:pPr>
  </w:style>
  <w:style w:type="paragraph" w:styleId="988">
    <w:name w:val="Normal (Web)"/>
    <w:basedOn w:val="792"/>
    <w:link w:val="1022"/>
    <w:uiPriority w:val="99"/>
    <w:qFormat/>
    <w:pPr>
      <w:pBdr/>
      <w:spacing/>
      <w:ind/>
    </w:pPr>
  </w:style>
  <w:style w:type="paragraph" w:styleId="989">
    <w:name w:val="Body Text 3"/>
    <w:basedOn w:val="792"/>
    <w:link w:val="1002"/>
    <w:uiPriority w:val="99"/>
    <w:unhideWhenUsed/>
    <w:qFormat/>
    <w:pPr>
      <w:pBdr/>
      <w:spacing w:after="120"/>
      <w:ind/>
    </w:pPr>
    <w:rPr>
      <w:sz w:val="16"/>
      <w:szCs w:val="16"/>
    </w:rPr>
  </w:style>
  <w:style w:type="paragraph" w:styleId="990">
    <w:name w:val="Body Text Indent 2"/>
    <w:basedOn w:val="792"/>
    <w:link w:val="1024"/>
    <w:uiPriority w:val="99"/>
    <w:semiHidden/>
    <w:unhideWhenUsed/>
    <w:qFormat/>
    <w:pPr>
      <w:pBdr/>
      <w:spacing w:after="120" w:line="480" w:lineRule="auto"/>
      <w:ind w:left="283"/>
    </w:pPr>
  </w:style>
  <w:style w:type="paragraph" w:styleId="991">
    <w:name w:val="Signature"/>
    <w:basedOn w:val="792"/>
    <w:link w:val="1012"/>
    <w:semiHidden/>
    <w:qFormat/>
    <w:pPr>
      <w:pBdr/>
      <w:spacing/>
      <w:ind w:left="4252"/>
    </w:pPr>
  </w:style>
  <w:style w:type="paragraph" w:styleId="992">
    <w:name w:val="HTML Preformatted"/>
    <w:basedOn w:val="792"/>
    <w:link w:val="1033"/>
    <w:uiPriority w:val="99"/>
    <w:unhideWhenUsed/>
    <w:qFormat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/>
      <w:ind/>
      <w:jc w:val="left"/>
    </w:pPr>
    <w:rPr>
      <w:rFonts w:ascii="Courier New" w:hAnsi="Courier New" w:cs="Courier New"/>
      <w:sz w:val="20"/>
      <w:szCs w:val="20"/>
    </w:rPr>
  </w:style>
  <w:style w:type="table" w:styleId="993">
    <w:name w:val="Table Grid"/>
    <w:basedOn w:val="803"/>
    <w:uiPriority w:val="5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94" w:customStyle="1">
    <w:name w:val="Заголовок 1 Знак"/>
    <w:basedOn w:val="802"/>
    <w:link w:val="793"/>
    <w:qFormat/>
    <w:pPr>
      <w:pBdr/>
      <w:spacing/>
      <w:ind/>
    </w:pPr>
    <w:rPr>
      <w:rFonts w:ascii="Times New Roman" w:hAnsi="Times New Roman" w:eastAsia="Times New Roman" w:cs="Times New Roman"/>
      <w:sz w:val="24"/>
      <w:szCs w:val="20"/>
      <w:shd w:val="clear" w:color="auto" w:fill="ffffff"/>
      <w:lang w:eastAsia="ru-RU"/>
    </w:rPr>
  </w:style>
  <w:style w:type="character" w:styleId="995" w:customStyle="1">
    <w:name w:val="Заголовок 2 Знак"/>
    <w:basedOn w:val="802"/>
    <w:link w:val="794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6" w:customStyle="1">
    <w:name w:val="Заголовок 3 Знак"/>
    <w:basedOn w:val="802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styleId="997" w:customStyle="1">
    <w:name w:val="Заголовок 4 Знак"/>
    <w:basedOn w:val="802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998" w:customStyle="1">
    <w:name w:val="Заголовок 3 Знак1"/>
    <w:link w:val="795"/>
    <w:qFormat/>
    <w:pPr>
      <w:pBdr/>
      <w:spacing/>
      <w:ind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999" w:customStyle="1">
    <w:name w:val="Заголовок 4 Знак1"/>
    <w:link w:val="796"/>
    <w:qFormat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000" w:customStyle="1">
    <w:name w:val="Основной текст 2 Знак"/>
    <w:basedOn w:val="802"/>
    <w:link w:val="974"/>
    <w:semiHidden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1" w:customStyle="1">
    <w:name w:val="Раздел 3"/>
    <w:basedOn w:val="792"/>
    <w:semiHidden/>
    <w:qFormat/>
    <w:pPr>
      <w:numPr>
        <w:numId w:val="1"/>
      </w:numPr>
      <w:pBdr/>
      <w:tabs>
        <w:tab w:val="left" w:leader="none" w:pos="360"/>
      </w:tabs>
      <w:spacing w:after="120" w:before="120"/>
      <w:ind w:hanging="360" w:left="360"/>
      <w:jc w:val="center"/>
    </w:pPr>
    <w:rPr>
      <w:b/>
      <w:szCs w:val="20"/>
    </w:rPr>
  </w:style>
  <w:style w:type="character" w:styleId="1002" w:customStyle="1">
    <w:name w:val="Основной текст 3 Знак"/>
    <w:basedOn w:val="802"/>
    <w:link w:val="989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003" w:customStyle="1">
    <w:name w:val="Основной текст Знак"/>
    <w:basedOn w:val="802"/>
    <w:uiPriority w:val="99"/>
    <w:semiHidden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4" w:customStyle="1">
    <w:name w:val="Основной текст с отступом Знак"/>
    <w:basedOn w:val="802"/>
    <w:link w:val="985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5" w:customStyle="1">
    <w:name w:val="Основной текст Знак1"/>
    <w:link w:val="980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6" w:customStyle="1">
    <w:name w:val="Текст сноски Знак"/>
    <w:basedOn w:val="802"/>
    <w:link w:val="978"/>
    <w:semiHidden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07" w:customStyle="1">
    <w:name w:val="ConsPlusCell"/>
    <w:qFormat/>
    <w:pPr>
      <w:widowControl w:val="false"/>
      <w:pBdr/>
      <w:spacing/>
      <w:ind/>
    </w:pPr>
    <w:rPr>
      <w:rFonts w:ascii="Arial" w:hAnsi="Arial" w:eastAsia="Times New Roman" w:cs="Arial"/>
    </w:rPr>
  </w:style>
  <w:style w:type="paragraph" w:styleId="1008" w:customStyle="1">
    <w:name w:val="Тендерные данные"/>
    <w:basedOn w:val="792"/>
    <w:semiHidden/>
    <w:qFormat/>
    <w:pPr>
      <w:pBdr/>
      <w:tabs>
        <w:tab w:val="left" w:leader="none" w:pos="1985"/>
      </w:tabs>
      <w:spacing w:before="120"/>
      <w:ind/>
    </w:pPr>
    <w:rPr>
      <w:b/>
      <w:szCs w:val="20"/>
    </w:rPr>
  </w:style>
  <w:style w:type="paragraph" w:styleId="1009" w:customStyle="1">
    <w:name w:val="ConsNormal"/>
    <w:qFormat/>
    <w:pPr>
      <w:widowControl w:val="false"/>
      <w:pBdr/>
      <w:spacing/>
      <w:ind w:right="19772" w:firstLine="720"/>
    </w:pPr>
    <w:rPr>
      <w:rFonts w:ascii="Arial" w:hAnsi="Arial" w:eastAsia="Times New Roman" w:cs="Arial"/>
    </w:rPr>
  </w:style>
  <w:style w:type="character" w:styleId="1010" w:customStyle="1">
    <w:name w:val="Дата Знак"/>
    <w:basedOn w:val="802"/>
    <w:link w:val="984"/>
    <w:qFormat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011" w:customStyle="1">
    <w:name w:val="Верхний колонтитул Знак"/>
    <w:basedOn w:val="802"/>
    <w:link w:val="979"/>
    <w:qFormat/>
    <w:pPr>
      <w:pBdr/>
      <w:spacing/>
      <w:ind/>
    </w:pPr>
    <w:rPr>
      <w:rFonts w:ascii="Arial" w:hAnsi="Arial" w:eastAsia="Times New Roman" w:cs="Times New Roman"/>
      <w:sz w:val="24"/>
      <w:szCs w:val="20"/>
      <w:lang w:eastAsia="ru-RU"/>
    </w:rPr>
  </w:style>
  <w:style w:type="character" w:styleId="1012" w:customStyle="1">
    <w:name w:val="Подпись Знак"/>
    <w:basedOn w:val="802"/>
    <w:link w:val="991"/>
    <w:semiHidden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3" w:customStyle="1">
    <w:name w:val="ConsPlusNonformat"/>
    <w:link w:val="1014"/>
    <w:qFormat/>
    <w:pPr>
      <w:widowControl w:val="false"/>
      <w:pBdr/>
      <w:spacing/>
      <w:ind/>
    </w:pPr>
    <w:rPr>
      <w:rFonts w:ascii="Courier New" w:hAnsi="Courier New" w:eastAsia="Times New Roman" w:cs="Courier New"/>
    </w:rPr>
  </w:style>
  <w:style w:type="character" w:styleId="1014" w:customStyle="1">
    <w:name w:val="ConsPlusNonformat Знак"/>
    <w:link w:val="1013"/>
    <w:qFormat/>
    <w:pPr>
      <w:pBdr/>
      <w:spacing/>
      <w:ind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15" w:customStyle="1">
    <w:name w:val="blk"/>
    <w:basedOn w:val="802"/>
    <w:qFormat/>
    <w:pPr>
      <w:pBdr/>
      <w:spacing/>
      <w:ind/>
    </w:pPr>
  </w:style>
  <w:style w:type="paragraph" w:styleId="1016">
    <w:name w:val="List Paragraph"/>
    <w:basedOn w:val="792"/>
    <w:uiPriority w:val="34"/>
    <w:qFormat/>
    <w:pPr>
      <w:pBdr/>
      <w:spacing/>
      <w:ind w:left="720"/>
      <w:contextualSpacing w:val="true"/>
    </w:pPr>
  </w:style>
  <w:style w:type="character" w:styleId="1017" w:customStyle="1">
    <w:name w:val="Заголовок Знак"/>
    <w:basedOn w:val="802"/>
    <w:link w:val="986"/>
    <w:qFormat/>
    <w:pPr>
      <w:pBdr/>
      <w:spacing/>
      <w:ind/>
    </w:pPr>
    <w:rPr>
      <w:rFonts w:ascii="Arial" w:hAnsi="Arial" w:eastAsia="Times New Roman" w:cs="Times New Roman"/>
      <w:b/>
      <w:sz w:val="32"/>
      <w:szCs w:val="20"/>
      <w:lang w:eastAsia="ru-RU"/>
    </w:rPr>
  </w:style>
  <w:style w:type="paragraph" w:styleId="1018">
    <w:name w:val="No Spacing"/>
    <w:link w:val="1030"/>
    <w:uiPriority w:val="99"/>
    <w:qFormat/>
    <w:pPr>
      <w:pBdr/>
      <w:spacing/>
      <w:ind/>
      <w:jc w:val="both"/>
    </w:pPr>
    <w:rPr>
      <w:rFonts w:eastAsia="Times New Roman"/>
      <w:sz w:val="24"/>
      <w:szCs w:val="24"/>
    </w:rPr>
  </w:style>
  <w:style w:type="character" w:styleId="1019" w:customStyle="1">
    <w:name w:val="Знак Знак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1020" w:customStyle="1">
    <w:name w:val="Текст Знак"/>
    <w:basedOn w:val="802"/>
    <w:link w:val="975"/>
    <w:qFormat/>
    <w:pPr>
      <w:pBdr/>
      <w:spacing/>
      <w:ind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21" w:customStyle="1">
    <w:name w:val="ConsTitle"/>
    <w:qFormat/>
    <w:pPr>
      <w:widowControl w:val="false"/>
      <w:pBdr/>
      <w:spacing/>
      <w:ind/>
    </w:pPr>
    <w:rPr>
      <w:rFonts w:ascii="Arial" w:hAnsi="Arial" w:eastAsia="Times New Roman" w:cs="Arial"/>
      <w:b/>
      <w:bCs/>
      <w:sz w:val="16"/>
      <w:szCs w:val="16"/>
    </w:rPr>
  </w:style>
  <w:style w:type="character" w:styleId="1022" w:customStyle="1">
    <w:name w:val="Обычный (Интернет) Знак"/>
    <w:link w:val="988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3" w:customStyle="1">
    <w:name w:val="Стиль3"/>
    <w:basedOn w:val="990"/>
    <w:semiHidden/>
    <w:qFormat/>
    <w:pPr>
      <w:widowControl w:val="false"/>
      <w:pBdr/>
      <w:tabs>
        <w:tab w:val="left" w:leader="none" w:pos="1127"/>
      </w:tabs>
      <w:spacing w:after="0" w:line="240" w:lineRule="auto"/>
      <w:ind w:left="900"/>
    </w:pPr>
    <w:rPr>
      <w:szCs w:val="20"/>
    </w:rPr>
  </w:style>
  <w:style w:type="character" w:styleId="1024" w:customStyle="1">
    <w:name w:val="Основной текст с отступом 2 Знак"/>
    <w:basedOn w:val="802"/>
    <w:link w:val="990"/>
    <w:uiPriority w:val="99"/>
    <w:semiHidden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25" w:customStyle="1">
    <w:name w:val="Текст выноски Знак"/>
    <w:basedOn w:val="802"/>
    <w:link w:val="973"/>
    <w:uiPriority w:val="99"/>
    <w:semiHidden/>
    <w:qFormat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paragraph" w:styleId="1026" w:customStyle="1">
    <w:name w:val="Таблица заголовок"/>
    <w:basedOn w:val="792"/>
    <w:semiHidden/>
    <w:qFormat/>
    <w:pPr>
      <w:pBdr/>
      <w:spacing w:after="120" w:before="120" w:line="360" w:lineRule="auto"/>
      <w:ind/>
      <w:jc w:val="right"/>
    </w:pPr>
    <w:rPr>
      <w:b/>
      <w:sz w:val="28"/>
      <w:szCs w:val="28"/>
    </w:rPr>
  </w:style>
  <w:style w:type="character" w:styleId="1027" w:customStyle="1">
    <w:name w:val="Нижний колонтитул Знак"/>
    <w:basedOn w:val="802"/>
    <w:link w:val="987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28" w:customStyle="1">
    <w:name w:val="Сетка таблицы1"/>
    <w:basedOn w:val="803"/>
    <w:qFormat/>
    <w:pPr>
      <w:pBdr/>
      <w:spacing/>
      <w:ind/>
    </w:pPr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29" w:customStyle="1">
    <w:name w:val="Список 1"/>
    <w:basedOn w:val="792"/>
    <w:qFormat/>
    <w:pPr>
      <w:pBdr/>
      <w:tabs>
        <w:tab w:val="left" w:leader="none" w:pos="1780"/>
      </w:tabs>
      <w:spacing w:after="0"/>
      <w:ind w:hanging="360" w:left="1780"/>
      <w:jc w:val="left"/>
    </w:pPr>
  </w:style>
  <w:style w:type="character" w:styleId="1030" w:customStyle="1">
    <w:name w:val="Без интервала Знак"/>
    <w:link w:val="1018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31" w:customStyle="1">
    <w:name w:val="forum__text"/>
    <w:basedOn w:val="802"/>
    <w:qFormat/>
    <w:pPr>
      <w:pBdr/>
      <w:spacing/>
      <w:ind/>
    </w:pPr>
  </w:style>
  <w:style w:type="character" w:styleId="1032" w:customStyle="1">
    <w:name w:val="Основной текст Знак Знак"/>
    <w:basedOn w:val="802"/>
    <w:uiPriority w:val="99"/>
    <w:qFormat/>
    <w:pPr>
      <w:pBdr/>
      <w:spacing/>
      <w:ind/>
    </w:pPr>
    <w:rPr>
      <w:rFonts w:ascii="Times New Roman" w:hAnsi="Times New Roman" w:cs="Times New Roman"/>
      <w:spacing w:val="1"/>
      <w:shd w:val="clear" w:color="auto" w:fill="ffffff"/>
    </w:rPr>
  </w:style>
  <w:style w:type="character" w:styleId="1033" w:customStyle="1">
    <w:name w:val="Стандартный HTML Знак"/>
    <w:basedOn w:val="802"/>
    <w:link w:val="992"/>
    <w:uiPriority w:val="99"/>
    <w:qFormat/>
    <w:pPr>
      <w:pBdr/>
      <w:spacing/>
      <w:ind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34" w:customStyle="1">
    <w:name w:val="Тема примечания Знак"/>
    <w:basedOn w:val="1035"/>
    <w:link w:val="977"/>
    <w:uiPriority w:val="99"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035" w:customStyle="1">
    <w:name w:val="Текст примечания Знак"/>
    <w:basedOn w:val="802"/>
    <w:link w:val="976"/>
    <w:uiPriority w:val="99"/>
    <w:semiHidden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36" w:customStyle="1">
    <w:name w:val="Тема примечания Знак1"/>
    <w:basedOn w:val="1035"/>
    <w:uiPriority w:val="99"/>
    <w:semiHidden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037" w:customStyle="1">
    <w:name w:val="text-cut2"/>
    <w:basedOn w:val="802"/>
    <w:qFormat/>
    <w:pPr>
      <w:pBdr/>
      <w:spacing/>
      <w:ind/>
    </w:pPr>
  </w:style>
  <w:style w:type="character" w:styleId="1038" w:customStyle="1">
    <w:name w:val="key-value__item-value"/>
    <w:basedOn w:val="802"/>
    <w:qFormat/>
    <w:pPr>
      <w:pBdr/>
      <w:spacing/>
      <w:ind/>
    </w:pPr>
  </w:style>
  <w:style w:type="character" w:styleId="1039" w:customStyle="1">
    <w:name w:val="phones"/>
    <w:basedOn w:val="802"/>
    <w:qFormat/>
    <w:pPr>
      <w:pBdr/>
      <w:spacing/>
      <w:ind/>
    </w:pPr>
  </w:style>
  <w:style w:type="character" w:styleId="1040" w:customStyle="1">
    <w:name w:val="copy_target"/>
    <w:basedOn w:val="802"/>
    <w:qFormat/>
    <w:pPr>
      <w:pBdr/>
      <w:spacing/>
      <w:ind/>
    </w:pPr>
  </w:style>
  <w:style w:type="character" w:styleId="1041" w:customStyle="1">
    <w:name w:val="address2"/>
    <w:basedOn w:val="802"/>
    <w:qFormat/>
    <w:pPr>
      <w:pBdr/>
      <w:spacing/>
      <w:ind/>
    </w:pPr>
  </w:style>
  <w:style w:type="character" w:styleId="1042" w:customStyle="1">
    <w:name w:val="extended-text__short"/>
    <w:basedOn w:val="802"/>
    <w:qFormat/>
    <w:pPr>
      <w:pBdr/>
      <w:spacing/>
      <w:ind/>
    </w:pPr>
  </w:style>
  <w:style w:type="character" w:styleId="1043" w:customStyle="1">
    <w:name w:val="company-info__contact"/>
    <w:basedOn w:val="802"/>
    <w:qFormat/>
    <w:pPr>
      <w:pBdr/>
      <w:spacing/>
      <w:ind/>
    </w:pPr>
  </w:style>
  <w:style w:type="character" w:styleId="1044" w:customStyle="1">
    <w:name w:val="Основной текст (2)"/>
    <w:basedOn w:val="802"/>
    <w:pPr>
      <w:pBdr/>
      <w:spacing/>
      <w:ind/>
    </w:pPr>
    <w:rPr>
      <w:rFonts w:ascii="Sylfaen" w:hAnsi="Sylfaen" w:eastAsia="Sylfaen" w:cs="Sylfaen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1045" w:customStyle="1">
    <w:name w:val="Основной текст Знак3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46" w:customStyle="1">
    <w:name w:val="15"/>
    <w:qFormat/>
    <w:pPr>
      <w:pBdr/>
      <w:spacing/>
      <w:ind/>
    </w:pPr>
    <w:rPr>
      <w:rFonts w:hint="default" w:ascii="Times New Roman" w:hAnsi="Times New Roman" w:cs="Times New Roman"/>
    </w:rPr>
  </w:style>
  <w:style w:type="paragraph" w:styleId="1047" w:customStyle="1">
    <w:name w:val="normal1"/>
    <w:qFormat/>
    <w:pPr>
      <w:pBdr/>
      <w:spacing/>
      <w:ind/>
    </w:pPr>
    <w:rPr>
      <w:rFonts w:eastAsia="NSimSun" w:cs="Arial"/>
      <w:lang w:eastAsia="zh-CN" w:bidi="hi-IN"/>
    </w:rPr>
  </w:style>
  <w:style w:type="character" w:styleId="1048">
    <w:name w:val="Unresolved Mention"/>
    <w:basedOn w:val="80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49" w:customStyle="1">
    <w:name w:val="Абзац списка1"/>
    <w:basedOn w:val="792"/>
    <w:pPr>
      <w:widowControl w:val="false"/>
      <w:pBdr/>
      <w:spacing w:after="200" w:line="276" w:lineRule="auto"/>
      <w:ind w:left="720"/>
      <w:contextualSpacing w:val="true"/>
      <w:jc w:val="left"/>
    </w:pPr>
    <w:rPr>
      <w:rFonts w:ascii="Calibri" w:hAnsi="Calibri" w:eastAsia="SimSun" w:cs="Tahoma"/>
      <w:sz w:val="22"/>
      <w:szCs w:val="22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3366E-458D-4902-9617-D1D338CE2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dc:description>DOC-MARKER-KTJkd69qpml-HxdGF2WgZg</dc:description>
  <cp:revision>3</cp:revision>
  <dcterms:created xsi:type="dcterms:W3CDTF">2026-09-17T12:18:00Z</dcterms:created>
  <dcterms:modified xsi:type="dcterms:W3CDTF">2026-09-21T08:04:59Z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77049B3201A54A9A814A0E0D9B66A72A_13</vt:lpwstr>
  </property>
</Properties>
</file>