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93D" w:rsidRDefault="003031B6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Техническое задание</w:t>
      </w:r>
    </w:p>
    <w:p w:rsidR="00B7293D" w:rsidRDefault="003031B6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  <w:highlight w:val="white"/>
        </w:rPr>
        <w:t xml:space="preserve"> на </w:t>
      </w:r>
      <w:r>
        <w:rPr>
          <w:rFonts w:ascii="Times New Roman" w:hAnsi="Times New Roman"/>
          <w:b/>
          <w:szCs w:val="22"/>
        </w:rPr>
        <w:t xml:space="preserve">оказание услуг по проведению периодического медосмотра сотрудников </w:t>
      </w:r>
      <w:bookmarkStart w:id="0" w:name="_Hlk240295773"/>
      <w:r w:rsidR="0031244D">
        <w:rPr>
          <w:rFonts w:ascii="Times New Roman" w:hAnsi="Times New Roman"/>
          <w:b/>
          <w:szCs w:val="22"/>
        </w:rPr>
        <w:t>ГАПОУ СО «</w:t>
      </w:r>
      <w:r>
        <w:rPr>
          <w:rFonts w:ascii="Times New Roman" w:hAnsi="Times New Roman"/>
          <w:b/>
          <w:szCs w:val="22"/>
        </w:rPr>
        <w:t>САРАТОВСКИЙ ОБЛАСТНОЙ БАЗОВЫЙ МЕДИЦИНСКИЙ КОЛЛЕДЖ</w:t>
      </w:r>
      <w:bookmarkEnd w:id="0"/>
      <w:r w:rsidR="0031244D">
        <w:rPr>
          <w:rFonts w:ascii="Times New Roman" w:hAnsi="Times New Roman"/>
          <w:b/>
          <w:szCs w:val="22"/>
        </w:rPr>
        <w:t xml:space="preserve">» </w:t>
      </w:r>
      <w:proofErr w:type="spellStart"/>
      <w:r w:rsidR="0031244D">
        <w:rPr>
          <w:rFonts w:ascii="Times New Roman" w:hAnsi="Times New Roman"/>
          <w:b/>
          <w:szCs w:val="22"/>
        </w:rPr>
        <w:t>Балашовский</w:t>
      </w:r>
      <w:proofErr w:type="spellEnd"/>
      <w:r w:rsidR="0031244D">
        <w:rPr>
          <w:rFonts w:ascii="Times New Roman" w:hAnsi="Times New Roman"/>
          <w:b/>
          <w:szCs w:val="22"/>
        </w:rPr>
        <w:t xml:space="preserve"> филиал</w:t>
      </w:r>
    </w:p>
    <w:p w:rsidR="00B7293D" w:rsidRDefault="00B7293D">
      <w:pPr>
        <w:widowControl w:val="0"/>
        <w:spacing w:before="100" w:after="0" w:line="240" w:lineRule="auto"/>
        <w:contextualSpacing/>
        <w:jc w:val="center"/>
        <w:rPr>
          <w:rFonts w:ascii="Times New Roman" w:hAnsi="Times New Roman"/>
          <w:b/>
          <w:szCs w:val="22"/>
        </w:rPr>
      </w:pPr>
    </w:p>
    <w:p w:rsidR="00B7293D" w:rsidRDefault="003031B6">
      <w:pPr>
        <w:spacing w:after="0" w:line="240" w:lineRule="auto"/>
        <w:jc w:val="both"/>
        <w:rPr>
          <w:rFonts w:ascii="Times New Roman" w:hAnsi="Times New Roman"/>
          <w:bCs/>
          <w:i/>
          <w:iCs/>
          <w:szCs w:val="22"/>
        </w:rPr>
      </w:pPr>
      <w:r>
        <w:rPr>
          <w:rFonts w:ascii="Times New Roman" w:hAnsi="Times New Roman"/>
          <w:bCs/>
          <w:i/>
          <w:iCs/>
          <w:szCs w:val="22"/>
        </w:rPr>
        <w:t>ОКПД 2: 86.21.10.120 - Услуги, предоставляемые врачами общей врачебной практики, по проведению диагностических процедур и постановке диагноза</w:t>
      </w:r>
    </w:p>
    <w:p w:rsidR="00B7293D" w:rsidRDefault="00B7293D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Cs w:val="22"/>
        </w:rPr>
      </w:pPr>
    </w:p>
    <w:p w:rsidR="00B7293D" w:rsidRDefault="003031B6">
      <w:pPr>
        <w:widowControl w:val="0"/>
        <w:numPr>
          <w:ilvl w:val="0"/>
          <w:numId w:val="1"/>
        </w:numPr>
        <w:tabs>
          <w:tab w:val="clear" w:pos="1702"/>
        </w:tabs>
        <w:spacing w:after="0" w:line="240" w:lineRule="auto"/>
        <w:ind w:left="20" w:hanging="20"/>
        <w:contextualSpacing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  <w:highlight w:val="white"/>
        </w:rPr>
        <w:t>1. Объект закупки:</w:t>
      </w:r>
      <w:r>
        <w:rPr>
          <w:rFonts w:ascii="Times New Roman" w:hAnsi="Times New Roman"/>
          <w:bCs/>
          <w:szCs w:val="22"/>
          <w:highlight w:val="white"/>
        </w:rPr>
        <w:t xml:space="preserve"> </w:t>
      </w:r>
      <w:r>
        <w:rPr>
          <w:rFonts w:ascii="Times New Roman" w:hAnsi="Times New Roman"/>
          <w:bCs/>
          <w:szCs w:val="22"/>
        </w:rPr>
        <w:t>оказание услуг по проведению периодического медосмотра сотрудников ГАПОУ СО "</w:t>
      </w:r>
      <w:r>
        <w:rPr>
          <w:rFonts w:ascii="Times New Roman" w:hAnsi="Times New Roman"/>
          <w:bCs/>
          <w:szCs w:val="22"/>
        </w:rPr>
        <w:t>САРАТОВСКИ</w:t>
      </w:r>
      <w:r>
        <w:rPr>
          <w:rFonts w:ascii="Times New Roman" w:hAnsi="Times New Roman"/>
          <w:bCs/>
          <w:szCs w:val="22"/>
        </w:rPr>
        <w:t>Й ОБЛАСТНОЙ БАЗОВЫЙ МЕДИЦИНСКИЙ КОЛЛЕДЖ</w:t>
      </w:r>
      <w:r w:rsidR="0031244D">
        <w:rPr>
          <w:rFonts w:ascii="Times New Roman" w:hAnsi="Times New Roman"/>
          <w:bCs/>
          <w:szCs w:val="22"/>
        </w:rPr>
        <w:t xml:space="preserve">» </w:t>
      </w:r>
      <w:proofErr w:type="spellStart"/>
      <w:r w:rsidR="0031244D">
        <w:rPr>
          <w:rFonts w:ascii="Times New Roman" w:hAnsi="Times New Roman"/>
          <w:bCs/>
          <w:szCs w:val="22"/>
        </w:rPr>
        <w:t>Балашовский</w:t>
      </w:r>
      <w:proofErr w:type="spellEnd"/>
      <w:r w:rsidR="0031244D">
        <w:rPr>
          <w:rFonts w:ascii="Times New Roman" w:hAnsi="Times New Roman"/>
          <w:bCs/>
          <w:szCs w:val="22"/>
        </w:rPr>
        <w:t xml:space="preserve"> филиал</w:t>
      </w:r>
      <w:bookmarkStart w:id="1" w:name="_GoBack"/>
      <w:bookmarkEnd w:id="1"/>
    </w:p>
    <w:p w:rsidR="00B7293D" w:rsidRDefault="003031B6">
      <w:pPr>
        <w:pStyle w:val="af8"/>
        <w:numPr>
          <w:ilvl w:val="0"/>
          <w:numId w:val="4"/>
        </w:numPr>
        <w:spacing w:after="0" w:line="240" w:lineRule="auto"/>
        <w:ind w:left="20" w:hanging="20"/>
        <w:jc w:val="both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szCs w:val="22"/>
          <w:highlight w:val="white"/>
        </w:rPr>
        <w:t>Место оказания услуг:</w:t>
      </w:r>
      <w:r>
        <w:rPr>
          <w:rFonts w:ascii="Times New Roman" w:hAnsi="Times New Roman"/>
          <w:szCs w:val="22"/>
        </w:rPr>
        <w:t> </w:t>
      </w:r>
      <w:proofErr w:type="gramStart"/>
      <w:r>
        <w:rPr>
          <w:rFonts w:ascii="Times New Roman" w:hAnsi="Times New Roman"/>
          <w:szCs w:val="22"/>
        </w:rPr>
        <w:t>Услуга</w:t>
      </w:r>
      <w:proofErr w:type="gramEnd"/>
      <w:r>
        <w:rPr>
          <w:rFonts w:ascii="Times New Roman" w:hAnsi="Times New Roman"/>
          <w:szCs w:val="22"/>
        </w:rPr>
        <w:t xml:space="preserve"> оказывается по адресу Исполнителя</w:t>
      </w:r>
      <w:r w:rsidR="0031244D">
        <w:rPr>
          <w:rFonts w:ascii="Times New Roman" w:hAnsi="Times New Roman"/>
          <w:szCs w:val="22"/>
        </w:rPr>
        <w:t xml:space="preserve"> на территории города </w:t>
      </w:r>
      <w:r>
        <w:rPr>
          <w:rFonts w:ascii="Times New Roman" w:hAnsi="Times New Roman"/>
          <w:szCs w:val="22"/>
        </w:rPr>
        <w:t>Балашова, Саратовской области на базе одного медицинского учреждения. Возможно предоставление мобильной группы для прохожд</w:t>
      </w:r>
      <w:r>
        <w:rPr>
          <w:rFonts w:ascii="Times New Roman" w:hAnsi="Times New Roman"/>
          <w:szCs w:val="22"/>
        </w:rPr>
        <w:t xml:space="preserve">ения </w:t>
      </w:r>
      <w:r>
        <w:rPr>
          <w:rFonts w:ascii="Times New Roman" w:hAnsi="Times New Roman"/>
          <w:bCs/>
          <w:szCs w:val="22"/>
        </w:rPr>
        <w:t xml:space="preserve">периодического медосмотра </w:t>
      </w:r>
      <w:r>
        <w:rPr>
          <w:rFonts w:ascii="Times New Roman" w:hAnsi="Times New Roman"/>
          <w:szCs w:val="22"/>
        </w:rPr>
        <w:t>по месту нахождения Заказчика. Услуга проводится в соответствии с заявкой и согласованным графиком Заказчика. Условия помещений, в которых проводится медицинский осмотр, должны соответствовать требованием санитарного законода</w:t>
      </w:r>
      <w:r>
        <w:rPr>
          <w:rFonts w:ascii="Times New Roman" w:hAnsi="Times New Roman"/>
          <w:szCs w:val="22"/>
        </w:rPr>
        <w:t xml:space="preserve">тельства. </w:t>
      </w:r>
    </w:p>
    <w:p w:rsidR="00B7293D" w:rsidRDefault="003031B6">
      <w:pPr>
        <w:pStyle w:val="af8"/>
        <w:numPr>
          <w:ilvl w:val="0"/>
          <w:numId w:val="4"/>
        </w:numPr>
        <w:spacing w:after="0" w:line="240" w:lineRule="auto"/>
        <w:ind w:left="20" w:hanging="20"/>
        <w:jc w:val="both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Основание для оказания услуг:</w:t>
      </w:r>
    </w:p>
    <w:p w:rsidR="00B7293D" w:rsidRDefault="003031B6">
      <w:pPr>
        <w:widowControl w:val="0"/>
        <w:shd w:val="clear" w:color="auto" w:fill="FFFFFF"/>
        <w:spacing w:after="0" w:line="240" w:lineRule="auto"/>
        <w:ind w:left="20" w:right="120" w:hanging="20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proofErr w:type="gramStart"/>
      <w:r>
        <w:rPr>
          <w:rFonts w:ascii="Times New Roman" w:hAnsi="Times New Roman"/>
          <w:szCs w:val="22"/>
          <w:shd w:val="clear" w:color="auto" w:fill="FFFFFF"/>
        </w:rPr>
        <w:t xml:space="preserve">Проведение периодических медицинских осмотров сотрудников, занятых во вредных и (или) опасных условиях труда должно осуществляться в соответствии с </w:t>
      </w:r>
      <w:r>
        <w:rPr>
          <w:rFonts w:ascii="Times New Roman" w:hAnsi="Times New Roman"/>
          <w:bCs/>
          <w:szCs w:val="22"/>
          <w:shd w:val="clear" w:color="auto" w:fill="FFFFFF"/>
        </w:rPr>
        <w:t xml:space="preserve">Порядком проведения периодических медицинских осмотров работников, </w:t>
      </w:r>
      <w:r>
        <w:rPr>
          <w:rFonts w:ascii="Times New Roman" w:hAnsi="Times New Roman"/>
          <w:bCs/>
          <w:szCs w:val="22"/>
          <w:shd w:val="clear" w:color="auto" w:fill="FFFFFF"/>
        </w:rPr>
        <w:t>предусмотренных статьей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периодич</w:t>
      </w:r>
      <w:r>
        <w:rPr>
          <w:rFonts w:ascii="Times New Roman" w:hAnsi="Times New Roman"/>
          <w:bCs/>
          <w:szCs w:val="22"/>
          <w:shd w:val="clear" w:color="auto" w:fill="FFFFFF"/>
        </w:rPr>
        <w:t>еские медицинские осмотры", утвержденным Приказом Минздрава России от</w:t>
      </w:r>
      <w:proofErr w:type="gramEnd"/>
      <w:r>
        <w:rPr>
          <w:rFonts w:ascii="Times New Roman" w:hAnsi="Times New Roman"/>
          <w:bCs/>
          <w:szCs w:val="22"/>
          <w:shd w:val="clear" w:color="auto" w:fill="FFFFFF"/>
        </w:rPr>
        <w:t xml:space="preserve"> 28.01.2021 N 29н, </w:t>
      </w:r>
      <w:r>
        <w:rPr>
          <w:rFonts w:ascii="Times New Roman" w:hAnsi="Times New Roman"/>
          <w:szCs w:val="22"/>
          <w:shd w:val="clear" w:color="auto" w:fill="FFFFFF"/>
        </w:rPr>
        <w:t>в соответствии с Трудовым кодексом РФ.</w:t>
      </w:r>
    </w:p>
    <w:p w:rsidR="00B7293D" w:rsidRDefault="003031B6">
      <w:pPr>
        <w:widowControl w:val="0"/>
        <w:shd w:val="clear" w:color="auto" w:fill="FFFFFF"/>
        <w:spacing w:after="0" w:line="240" w:lineRule="auto"/>
        <w:ind w:left="20" w:right="120" w:hanging="20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r>
        <w:rPr>
          <w:rFonts w:ascii="Times New Roman" w:hAnsi="Times New Roman"/>
          <w:szCs w:val="22"/>
          <w:shd w:val="clear" w:color="auto" w:fill="FFFFFF"/>
        </w:rPr>
        <w:t xml:space="preserve">Целями данной закупки является определение соответствия состояния здоровья лиц, поручаемой им работе, а также раннее выявление и </w:t>
      </w:r>
      <w:r>
        <w:rPr>
          <w:rFonts w:ascii="Times New Roman" w:hAnsi="Times New Roman"/>
          <w:szCs w:val="22"/>
          <w:shd w:val="clear" w:color="auto" w:fill="FFFFFF"/>
        </w:rPr>
        <w:t>профилактика заболеваний у работников.</w:t>
      </w:r>
    </w:p>
    <w:p w:rsidR="00B7293D" w:rsidRDefault="003031B6">
      <w:pPr>
        <w:widowControl w:val="0"/>
        <w:numPr>
          <w:ilvl w:val="1"/>
          <w:numId w:val="6"/>
        </w:numPr>
        <w:tabs>
          <w:tab w:val="clear" w:pos="1702"/>
        </w:tabs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r>
        <w:rPr>
          <w:rFonts w:ascii="Times New Roman" w:hAnsi="Times New Roman"/>
          <w:szCs w:val="22"/>
          <w:shd w:val="clear" w:color="auto" w:fill="FFFFFF"/>
        </w:rPr>
        <w:t>Оказание услуг должно осуществляться в соответствии с требованиями, предусмотренными действующим законодательством Российской Федерации, правовыми актами органов государственной власти Российской Федерации, в том числ</w:t>
      </w:r>
      <w:r>
        <w:rPr>
          <w:rFonts w:ascii="Times New Roman" w:hAnsi="Times New Roman"/>
          <w:szCs w:val="22"/>
          <w:shd w:val="clear" w:color="auto" w:fill="FFFFFF"/>
        </w:rPr>
        <w:t>е:</w:t>
      </w:r>
    </w:p>
    <w:p w:rsidR="00B7293D" w:rsidRDefault="003031B6">
      <w:pPr>
        <w:widowControl w:val="0"/>
        <w:shd w:val="clear" w:color="auto" w:fill="FFFFFF"/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r>
        <w:rPr>
          <w:rFonts w:ascii="Times New Roman" w:hAnsi="Times New Roman"/>
          <w:szCs w:val="22"/>
          <w:shd w:val="clear" w:color="auto" w:fill="FFFFFF"/>
        </w:rPr>
        <w:t>– Федеральный закон РФ от 21.11.2011 г. № 323-ФЗ «Об основах охраны здоровья граждан Российской Федерации (с изменениями и дополнениями)»;</w:t>
      </w:r>
    </w:p>
    <w:p w:rsidR="00B7293D" w:rsidRDefault="003031B6">
      <w:pPr>
        <w:widowControl w:val="0"/>
        <w:shd w:val="clear" w:color="auto" w:fill="FFFFFF"/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shd w:val="clear" w:color="auto" w:fill="FFFFFF"/>
        </w:rPr>
      </w:pPr>
      <w:r>
        <w:rPr>
          <w:rFonts w:ascii="Times New Roman" w:hAnsi="Times New Roman"/>
          <w:szCs w:val="22"/>
          <w:shd w:val="clear" w:color="auto" w:fill="FFFFFF"/>
        </w:rPr>
        <w:t>– Федеральный закон РФ от 30.03.1999 № 52-ФЗ «О санитарно-эпидемиологическом благополучии населения (с изменениями)»;</w:t>
      </w:r>
    </w:p>
    <w:p w:rsidR="00B7293D" w:rsidRDefault="003031B6">
      <w:pPr>
        <w:widowControl w:val="0"/>
        <w:shd w:val="clear" w:color="auto" w:fill="FFFFFF"/>
        <w:spacing w:after="0" w:line="278" w:lineRule="exact"/>
        <w:ind w:left="20" w:hanging="20"/>
        <w:contextualSpacing/>
        <w:jc w:val="both"/>
        <w:rPr>
          <w:rFonts w:ascii="Times New Roman" w:hAnsi="Times New Roman"/>
          <w:bCs/>
          <w:szCs w:val="22"/>
          <w:shd w:val="clear" w:color="auto" w:fill="FFFFFF"/>
        </w:rPr>
      </w:pPr>
      <w:proofErr w:type="gramStart"/>
      <w:r>
        <w:rPr>
          <w:rFonts w:ascii="Times New Roman" w:hAnsi="Times New Roman"/>
          <w:szCs w:val="22"/>
          <w:shd w:val="clear" w:color="auto" w:fill="FFFFFF"/>
        </w:rPr>
        <w:t xml:space="preserve">– </w:t>
      </w:r>
      <w:r>
        <w:rPr>
          <w:rFonts w:ascii="Times New Roman" w:hAnsi="Times New Roman"/>
          <w:bCs/>
          <w:szCs w:val="22"/>
          <w:shd w:val="clear" w:color="auto" w:fill="FFFFFF"/>
        </w:rPr>
        <w:t>Приказ Минздрава России от 28.01.2021 N 29н "</w:t>
      </w:r>
      <w:r>
        <w:rPr>
          <w:rFonts w:ascii="Times New Roman" w:hAnsi="Times New Roman"/>
          <w:bCs/>
          <w:szCs w:val="22"/>
          <w:shd w:val="clear" w:color="auto" w:fill="FFFFFF"/>
        </w:rPr>
        <w:t>Об утверждении Порядка проведения обязательных предварительных и периодических медицинских осмотров работников, предусмотренных статьей 213 Трудового кодекса Российской Федерации, перечня медицинских противопоказаний к осуществлению работ с вредными и (или</w:t>
      </w:r>
      <w:r>
        <w:rPr>
          <w:rFonts w:ascii="Times New Roman" w:hAnsi="Times New Roman"/>
          <w:bCs/>
          <w:szCs w:val="22"/>
          <w:shd w:val="clear" w:color="auto" w:fill="FFFFFF"/>
        </w:rPr>
        <w:t>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  <w:proofErr w:type="gramEnd"/>
    </w:p>
    <w:p w:rsidR="00B7293D" w:rsidRDefault="003031B6">
      <w:pPr>
        <w:widowControl w:val="0"/>
        <w:numPr>
          <w:ilvl w:val="0"/>
          <w:numId w:val="1"/>
        </w:numPr>
        <w:tabs>
          <w:tab w:val="clear" w:pos="1702"/>
        </w:tabs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4. С</w:t>
      </w:r>
      <w:r>
        <w:rPr>
          <w:rFonts w:ascii="Times New Roman" w:hAnsi="Times New Roman"/>
          <w:b/>
          <w:szCs w:val="22"/>
          <w:highlight w:val="white"/>
        </w:rPr>
        <w:t xml:space="preserve">рок оказания </w:t>
      </w:r>
      <w:r>
        <w:rPr>
          <w:rFonts w:ascii="Times New Roman" w:hAnsi="Times New Roman"/>
          <w:b/>
          <w:szCs w:val="22"/>
        </w:rPr>
        <w:t>услуг</w:t>
      </w:r>
      <w:r>
        <w:rPr>
          <w:rFonts w:ascii="Times New Roman" w:hAnsi="Times New Roman"/>
          <w:color w:val="000000" w:themeColor="text1"/>
          <w:szCs w:val="22"/>
        </w:rPr>
        <w:t xml:space="preserve">: с момента подписания договора по 31декабря 2026 года. </w:t>
      </w:r>
      <w:r>
        <w:rPr>
          <w:rFonts w:ascii="Times New Roman" w:hAnsi="Times New Roman"/>
          <w:szCs w:val="22"/>
        </w:rPr>
        <w:t xml:space="preserve">Услуги </w:t>
      </w:r>
      <w:r>
        <w:rPr>
          <w:rFonts w:ascii="Times New Roman" w:hAnsi="Times New Roman"/>
          <w:szCs w:val="22"/>
          <w:highlight w:val="white"/>
        </w:rPr>
        <w:t>оказываются п</w:t>
      </w:r>
      <w:r>
        <w:rPr>
          <w:rFonts w:ascii="Times New Roman" w:hAnsi="Times New Roman"/>
          <w:szCs w:val="22"/>
          <w:highlight w:val="white"/>
        </w:rPr>
        <w:t>о заявке Заказчика.</w:t>
      </w:r>
    </w:p>
    <w:p w:rsidR="00B7293D" w:rsidRDefault="003031B6">
      <w:pPr>
        <w:numPr>
          <w:ilvl w:val="0"/>
          <w:numId w:val="1"/>
        </w:numPr>
        <w:tabs>
          <w:tab w:val="clear" w:pos="1702"/>
        </w:tabs>
        <w:spacing w:after="0" w:line="240" w:lineRule="auto"/>
        <w:ind w:left="20" w:hanging="20"/>
        <w:jc w:val="both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5. Условия оказания услуг:</w:t>
      </w:r>
    </w:p>
    <w:p w:rsidR="00B7293D" w:rsidRDefault="003031B6">
      <w:pPr>
        <w:tabs>
          <w:tab w:val="left" w:pos="1702"/>
        </w:tabs>
        <w:spacing w:after="0" w:line="240" w:lineRule="auto"/>
        <w:ind w:left="57"/>
        <w:contextualSpacing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Соблюдение требований нормативных актов, приказов Минздрава РФ.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Проведение обязательных медицинских осмотров, осуществляется в рабочее время Заказчика, в будние дни, кроме выходных и праздничных дней, учитывая</w:t>
      </w:r>
      <w:r>
        <w:rPr>
          <w:rFonts w:ascii="Times New Roman" w:hAnsi="Times New Roman"/>
          <w:szCs w:val="22"/>
          <w:highlight w:val="white"/>
        </w:rPr>
        <w:t xml:space="preserve">, что на проведение осмотра работников </w:t>
      </w:r>
      <w:r>
        <w:rPr>
          <w:rFonts w:ascii="Times New Roman" w:hAnsi="Times New Roman"/>
          <w:szCs w:val="22"/>
        </w:rPr>
        <w:t xml:space="preserve">затрачивается </w:t>
      </w:r>
      <w:r>
        <w:rPr>
          <w:rFonts w:ascii="Times New Roman" w:hAnsi="Times New Roman"/>
          <w:color w:val="000000" w:themeColor="text1"/>
          <w:szCs w:val="22"/>
        </w:rPr>
        <w:t xml:space="preserve">не более 14 календарных дней, </w:t>
      </w:r>
      <w:r>
        <w:rPr>
          <w:rFonts w:ascii="Times New Roman" w:hAnsi="Times New Roman"/>
          <w:szCs w:val="22"/>
          <w:highlight w:val="white"/>
        </w:rPr>
        <w:t>по заявке и на основании выданного Заказчиком направления, в течение срока действия договора;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Проведение периодических медицинских осмотров (обследований), осуществляется по</w:t>
      </w:r>
      <w:r>
        <w:rPr>
          <w:rFonts w:ascii="Times New Roman" w:hAnsi="Times New Roman"/>
          <w:szCs w:val="22"/>
          <w:highlight w:val="white"/>
        </w:rPr>
        <w:t xml:space="preserve"> утверждённому и согласованному Заказчиком и Исполнителем графику, на основании заявки от Заказчика, и на основании представленного Заказчиком поименного списка работников, подлежащих прохождению медицинского осмотра в 2026г. </w:t>
      </w:r>
    </w:p>
    <w:p w:rsidR="00B7293D" w:rsidRDefault="003031B6">
      <w:pPr>
        <w:spacing w:after="0" w:line="240" w:lineRule="auto"/>
        <w:ind w:right="-1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Исполнитель должен иметь прои</w:t>
      </w:r>
      <w:r>
        <w:rPr>
          <w:rFonts w:ascii="Times New Roman" w:hAnsi="Times New Roman"/>
          <w:szCs w:val="22"/>
          <w:highlight w:val="white"/>
        </w:rPr>
        <w:t xml:space="preserve">зводственную базу (собственную, арендованную или находящуюся на других законных основаниях), оснащенную медицинскими приборами, медицинским инструментом и приспособлениями, а также средствами коллективной и индивидуальной защиты персонала, </w:t>
      </w:r>
      <w:proofErr w:type="gramStart"/>
      <w:r>
        <w:rPr>
          <w:rFonts w:ascii="Times New Roman" w:hAnsi="Times New Roman"/>
          <w:szCs w:val="22"/>
          <w:highlight w:val="white"/>
        </w:rPr>
        <w:lastRenderedPageBreak/>
        <w:t>необходимыми</w:t>
      </w:r>
      <w:proofErr w:type="gramEnd"/>
      <w:r>
        <w:rPr>
          <w:rFonts w:ascii="Times New Roman" w:hAnsi="Times New Roman"/>
          <w:szCs w:val="22"/>
          <w:highlight w:val="white"/>
        </w:rPr>
        <w:t xml:space="preserve"> для</w:t>
      </w:r>
      <w:r>
        <w:rPr>
          <w:rFonts w:ascii="Times New Roman" w:hAnsi="Times New Roman"/>
          <w:szCs w:val="22"/>
          <w:highlight w:val="white"/>
        </w:rPr>
        <w:t xml:space="preserve"> оказания услуг по настоящему Техническому заданию, соответствующим требованиям охраны труда и санитарно-техническим требованиям.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 xml:space="preserve">Исполнитель в срок не позднее 10 рабочих дней с момента получения от работодателя поименного списка (но не </w:t>
      </w:r>
      <w:proofErr w:type="gramStart"/>
      <w:r>
        <w:rPr>
          <w:rFonts w:ascii="Times New Roman" w:hAnsi="Times New Roman"/>
          <w:szCs w:val="22"/>
          <w:highlight w:val="white"/>
        </w:rPr>
        <w:t>позднее</w:t>
      </w:r>
      <w:proofErr w:type="gramEnd"/>
      <w:r>
        <w:rPr>
          <w:rFonts w:ascii="Times New Roman" w:hAnsi="Times New Roman"/>
          <w:szCs w:val="22"/>
          <w:highlight w:val="white"/>
        </w:rPr>
        <w:t xml:space="preserve"> чем за 14 рабочих дней до согласованной с работодателем даты начала проведения периодического осмотра) на основании поименного списка составл</w:t>
      </w:r>
      <w:r>
        <w:rPr>
          <w:rFonts w:ascii="Times New Roman" w:hAnsi="Times New Roman"/>
          <w:szCs w:val="22"/>
          <w:highlight w:val="white"/>
        </w:rPr>
        <w:t>яет календарный план проведения периодического осмотра (далее - календарный план). Календарный план согласовывается медицинской организацией с работодателем (его представителем) и утверждается руководителем медицинской организации.</w:t>
      </w:r>
    </w:p>
    <w:p w:rsidR="00B7293D" w:rsidRDefault="003031B6">
      <w:pPr>
        <w:widowControl w:val="0"/>
        <w:spacing w:after="0" w:line="240" w:lineRule="auto"/>
        <w:ind w:left="20"/>
        <w:contextualSpacing/>
        <w:jc w:val="both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6. Требования к Исполнит</w:t>
      </w:r>
      <w:r>
        <w:rPr>
          <w:rFonts w:ascii="Times New Roman" w:hAnsi="Times New Roman"/>
          <w:b/>
          <w:szCs w:val="22"/>
          <w:highlight w:val="white"/>
        </w:rPr>
        <w:t>елю закупки: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Исполнитель должен соответствовать требованиям, устанавливаемым в соответствии с законодательством Российской Федерации к лицам, оказывающим услуги, являющиеся предметом закупки и обладать действующими лицензиями (аккредитацией, допусками, сер</w:t>
      </w:r>
      <w:r>
        <w:rPr>
          <w:rFonts w:ascii="Times New Roman" w:hAnsi="Times New Roman"/>
          <w:szCs w:val="22"/>
          <w:highlight w:val="white"/>
        </w:rPr>
        <w:t>тификатами);</w:t>
      </w:r>
    </w:p>
    <w:p w:rsidR="00B7293D" w:rsidRDefault="003031B6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highlight w:val="white"/>
        </w:rPr>
        <w:t xml:space="preserve">Для проведения периодического осмотров медицинской организацией должна быть сформирована постоянно действующая врачебная комиссия, </w:t>
      </w:r>
      <w:r>
        <w:rPr>
          <w:rFonts w:ascii="Times New Roman" w:hAnsi="Times New Roman"/>
          <w:szCs w:val="22"/>
        </w:rPr>
        <w:t xml:space="preserve">возглавляемая врачом – </w:t>
      </w:r>
      <w:proofErr w:type="spellStart"/>
      <w:r>
        <w:rPr>
          <w:rFonts w:ascii="Times New Roman" w:hAnsi="Times New Roman"/>
          <w:szCs w:val="22"/>
        </w:rPr>
        <w:t>профпатологом</w:t>
      </w:r>
      <w:proofErr w:type="spellEnd"/>
      <w:r>
        <w:rPr>
          <w:rFonts w:ascii="Times New Roman" w:hAnsi="Times New Roman"/>
          <w:szCs w:val="22"/>
        </w:rPr>
        <w:t>, а также врачи – специалисты, прошедшие в установленном порядке повышение к</w:t>
      </w:r>
      <w:r>
        <w:rPr>
          <w:rFonts w:ascii="Times New Roman" w:hAnsi="Times New Roman"/>
          <w:szCs w:val="22"/>
        </w:rPr>
        <w:t>валификации по специальности «</w:t>
      </w:r>
      <w:proofErr w:type="spellStart"/>
      <w:r>
        <w:rPr>
          <w:rFonts w:ascii="Times New Roman" w:hAnsi="Times New Roman"/>
          <w:szCs w:val="22"/>
        </w:rPr>
        <w:t>профпатология</w:t>
      </w:r>
      <w:proofErr w:type="spellEnd"/>
      <w:r>
        <w:rPr>
          <w:rFonts w:ascii="Times New Roman" w:hAnsi="Times New Roman"/>
          <w:szCs w:val="22"/>
        </w:rPr>
        <w:t>», что подтверждается сертификатами и дипломами об образовании. Наличие собственной или привлеченной аккредитованной лаборатории, обеспечивающей производство необходимых анализов.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7. Требования к качеству и безопа</w:t>
      </w:r>
      <w:r>
        <w:rPr>
          <w:rFonts w:ascii="Times New Roman" w:hAnsi="Times New Roman"/>
          <w:b/>
          <w:szCs w:val="22"/>
          <w:highlight w:val="white"/>
        </w:rPr>
        <w:t>сности услуг: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Оказание услуг должно осуществляться в соответствии с требованиями, предусмотренными действующим законодательством Российской Федерации, правовыми актами органов государственной власти Российской Федерации, в том числе:</w:t>
      </w:r>
    </w:p>
    <w:p w:rsidR="00B7293D" w:rsidRDefault="003031B6">
      <w:pPr>
        <w:widowControl w:val="0"/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– Федеральный закон РФ</w:t>
      </w:r>
      <w:r>
        <w:rPr>
          <w:rFonts w:ascii="Times New Roman" w:hAnsi="Times New Roman"/>
          <w:szCs w:val="22"/>
          <w:highlight w:val="white"/>
        </w:rPr>
        <w:t xml:space="preserve"> от 21.11.2011 г. № 323-ФЗ «Об основах охраны здоровья граждан Российской Федерации (с изменениями и дополнениями)»;</w:t>
      </w:r>
    </w:p>
    <w:p w:rsidR="00B7293D" w:rsidRDefault="003031B6">
      <w:pPr>
        <w:widowControl w:val="0"/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– Федеральный закон РФ от 30.03.1999 № 52-ФЗ «О санитарно-эпидемиологическом благополучии населения (с изменениями)»;</w:t>
      </w:r>
    </w:p>
    <w:p w:rsidR="00B7293D" w:rsidRDefault="003031B6">
      <w:pPr>
        <w:widowControl w:val="0"/>
        <w:spacing w:after="0" w:line="240" w:lineRule="auto"/>
        <w:ind w:left="20" w:hanging="20"/>
        <w:contextualSpacing/>
        <w:jc w:val="both"/>
        <w:rPr>
          <w:rFonts w:ascii="Times New Roman" w:hAnsi="Times New Roman"/>
          <w:szCs w:val="22"/>
          <w:highlight w:val="white"/>
        </w:rPr>
      </w:pPr>
      <w:proofErr w:type="gramStart"/>
      <w:r>
        <w:rPr>
          <w:rFonts w:ascii="Times New Roman" w:hAnsi="Times New Roman"/>
          <w:szCs w:val="22"/>
          <w:highlight w:val="white"/>
        </w:rPr>
        <w:t>– Приказ Минздрава Ро</w:t>
      </w:r>
      <w:r>
        <w:rPr>
          <w:rFonts w:ascii="Times New Roman" w:hAnsi="Times New Roman"/>
          <w:szCs w:val="22"/>
          <w:highlight w:val="white"/>
        </w:rPr>
        <w:t>ссии от 28.01.2021 N 29н "Об утверждении Порядка проведения обязательных предварительных и периодических медицинских осмотров работников, предусмотренных статьей 213 Трудового кодекса Российской Федерации, перечня медицинских противопоказаний к осуществлен</w:t>
      </w:r>
      <w:r>
        <w:rPr>
          <w:rFonts w:ascii="Times New Roman" w:hAnsi="Times New Roman"/>
          <w:szCs w:val="22"/>
          <w:highlight w:val="white"/>
        </w:rPr>
        <w:t>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  <w:proofErr w:type="gramEnd"/>
    </w:p>
    <w:p w:rsidR="00B7293D" w:rsidRDefault="003031B6">
      <w:pPr>
        <w:widowControl w:val="0"/>
        <w:numPr>
          <w:ilvl w:val="0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8. Требования к наличию сертификатов и лицензий: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Исполнитель должен имет</w:t>
      </w:r>
      <w:r>
        <w:rPr>
          <w:rFonts w:ascii="Times New Roman" w:hAnsi="Times New Roman"/>
          <w:szCs w:val="22"/>
          <w:highlight w:val="white"/>
        </w:rPr>
        <w:t>ь и предоставить Заказчику действующую Лицензию Федеральной службы по надзору в сфере здравоохранения и социального развития на право осуществления медицинской деятельности, на проведение периодических осмотров, а также на экспертизу профессиональной приго</w:t>
      </w:r>
      <w:r>
        <w:rPr>
          <w:rFonts w:ascii="Times New Roman" w:hAnsi="Times New Roman"/>
          <w:szCs w:val="22"/>
          <w:highlight w:val="white"/>
        </w:rPr>
        <w:t>дности в соответствии с действующими нормативными правовыми актами.</w:t>
      </w:r>
    </w:p>
    <w:p w:rsidR="00B7293D" w:rsidRDefault="003031B6">
      <w:pPr>
        <w:widowControl w:val="0"/>
        <w:numPr>
          <w:ilvl w:val="1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Исполнитель должен располагать квалифицированным персоналом, необходимым для оказания данного вида услуг.</w:t>
      </w:r>
    </w:p>
    <w:p w:rsidR="00B7293D" w:rsidRDefault="003031B6">
      <w:pPr>
        <w:widowControl w:val="0"/>
        <w:numPr>
          <w:ilvl w:val="0"/>
          <w:numId w:val="1"/>
        </w:numPr>
        <w:tabs>
          <w:tab w:val="clear" w:pos="1702"/>
        </w:tabs>
        <w:spacing w:after="0" w:line="240" w:lineRule="auto"/>
        <w:ind w:left="20" w:firstLine="0"/>
        <w:contextualSpacing/>
        <w:jc w:val="both"/>
        <w:rPr>
          <w:rFonts w:ascii="Times New Roman" w:hAnsi="Times New Roman"/>
          <w:b/>
          <w:szCs w:val="22"/>
          <w:highlight w:val="white"/>
        </w:rPr>
      </w:pPr>
      <w:r>
        <w:rPr>
          <w:rFonts w:ascii="Times New Roman" w:hAnsi="Times New Roman"/>
          <w:b/>
          <w:szCs w:val="22"/>
          <w:highlight w:val="white"/>
        </w:rPr>
        <w:t>9. Требования к результатам услуг и иные показатели, связанные с определением соот</w:t>
      </w:r>
      <w:r>
        <w:rPr>
          <w:rFonts w:ascii="Times New Roman" w:hAnsi="Times New Roman"/>
          <w:b/>
          <w:szCs w:val="22"/>
          <w:highlight w:val="white"/>
        </w:rPr>
        <w:t>ветствия оказываемых услуг потребностям Заказчика (приемка услуг)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highlight w:val="white"/>
        </w:rPr>
        <w:t xml:space="preserve">На лицо, проходящего </w:t>
      </w:r>
      <w:r>
        <w:rPr>
          <w:rFonts w:ascii="Times New Roman" w:hAnsi="Times New Roman"/>
          <w:szCs w:val="22"/>
          <w:highlight w:val="white"/>
        </w:rPr>
        <w:t>периодический осмотр, в медицинской организации оформляется медицинская карта (паспорт здоровья), в которую вносятся заключения врачей-специалистов, результаты лабораторных и иных исследований, заключение по результатам периодического медицинского осмотра.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</w:rPr>
        <w:t>Медицинская организация,</w:t>
      </w:r>
      <w:r>
        <w:rPr>
          <w:rFonts w:ascii="Times New Roman" w:hAnsi="Times New Roman"/>
          <w:szCs w:val="22"/>
          <w:highlight w:val="white"/>
        </w:rPr>
        <w:t xml:space="preserve"> проводившая периодические осмотры, предоставляет информацию о результатах указанных осмотров с письменного согласия работника в Фонд социального страхования Российской Федерации по письменному запросу (далее - Фонд социального стр</w:t>
      </w:r>
      <w:r>
        <w:rPr>
          <w:rFonts w:ascii="Times New Roman" w:hAnsi="Times New Roman"/>
          <w:szCs w:val="22"/>
          <w:highlight w:val="white"/>
        </w:rPr>
        <w:t>ахования).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По окончании прохождения работником периодического осмотра медицинской организацией оформляется Заключение по его результатам. 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Срок предоставления Заключительного акта медицинской комиссии – не более 30 календарных дней с момента окончания пери</w:t>
      </w:r>
      <w:r>
        <w:rPr>
          <w:rFonts w:ascii="Times New Roman" w:hAnsi="Times New Roman"/>
          <w:szCs w:val="22"/>
        </w:rPr>
        <w:t>одического медосмотра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 xml:space="preserve">Заключение составляется в пяти экземплярах, один экземпляр которого не позднее 5 рабочих дней выдается работнику. </w:t>
      </w:r>
      <w:proofErr w:type="gramStart"/>
      <w:r>
        <w:rPr>
          <w:rFonts w:ascii="Times New Roman" w:hAnsi="Times New Roman"/>
          <w:szCs w:val="22"/>
          <w:highlight w:val="white"/>
        </w:rPr>
        <w:t>Второй экземпляр Заключения приобщается к медицинской карте, оформляемой в медицинской организации, в которой проводился</w:t>
      </w:r>
      <w:r>
        <w:rPr>
          <w:rFonts w:ascii="Times New Roman" w:hAnsi="Times New Roman"/>
          <w:szCs w:val="22"/>
          <w:highlight w:val="white"/>
        </w:rPr>
        <w:t xml:space="preserve"> периодический осмотр, третий - направляется работодателю,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 в </w:t>
      </w:r>
      <w:r>
        <w:rPr>
          <w:rFonts w:ascii="Times New Roman" w:hAnsi="Times New Roman"/>
          <w:szCs w:val="22"/>
          <w:highlight w:val="white"/>
        </w:rPr>
        <w:t>соответствии с Порядком проведения обязательных предварительных и периодических медицинских осмотров работников, предусмотренных статьей 213 Трудового кодекса Российской</w:t>
      </w:r>
      <w:proofErr w:type="gramEnd"/>
      <w:r>
        <w:rPr>
          <w:rFonts w:ascii="Times New Roman" w:hAnsi="Times New Roman"/>
          <w:szCs w:val="22"/>
          <w:highlight w:val="white"/>
        </w:rPr>
        <w:t xml:space="preserve"> Федерации, перечня медицинских </w:t>
      </w:r>
      <w:r>
        <w:rPr>
          <w:rFonts w:ascii="Times New Roman" w:hAnsi="Times New Roman"/>
          <w:szCs w:val="22"/>
          <w:highlight w:val="white"/>
        </w:rPr>
        <w:lastRenderedPageBreak/>
        <w:t>противопоказаний к осуществлению работ, а также работам</w:t>
      </w:r>
      <w:r>
        <w:rPr>
          <w:rFonts w:ascii="Times New Roman" w:hAnsi="Times New Roman"/>
          <w:szCs w:val="22"/>
          <w:highlight w:val="white"/>
        </w:rPr>
        <w:t>, при выполнении которых проводятся обязательные периодические медицинские осмотры, утвержденным Приказом Минздрава России от 28.01.2021 № 29 Н.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Основанием для сдачи и приемки оказанных услуг является оформленный представителями Заказчика и Исполнителя акт</w:t>
      </w:r>
      <w:r>
        <w:rPr>
          <w:rFonts w:ascii="Times New Roman" w:hAnsi="Times New Roman"/>
          <w:szCs w:val="22"/>
          <w:highlight w:val="white"/>
        </w:rPr>
        <w:t xml:space="preserve"> об оказании услуг (оформляется после предоставления Исполнителем заключений по результатам предварительного (периодического) медицинского осмотра, индивидуальных медицинских заключений, паспортов здоровья, личных медицинских книжек), выставленный Исполнит</w:t>
      </w:r>
      <w:r>
        <w:rPr>
          <w:rFonts w:ascii="Times New Roman" w:hAnsi="Times New Roman"/>
          <w:szCs w:val="22"/>
          <w:highlight w:val="white"/>
        </w:rPr>
        <w:t>елем счет, в случае применения федерального налогообложения – счет-фактура.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При приемке оказанных Исполнителем услуг представитель Заказчика проверяет соответствие оказанных услуг требованиям технического задания, условиям договора, а также обязательным тр</w:t>
      </w:r>
      <w:r>
        <w:rPr>
          <w:rFonts w:ascii="Times New Roman" w:hAnsi="Times New Roman"/>
          <w:szCs w:val="22"/>
          <w:highlight w:val="white"/>
        </w:rPr>
        <w:t>ебованиям, устанавливаемым к услугам данного рода. При наличии у Заказчика замечаний к качеству и объему услуг Исполнителя, представитель Заказчика направляет Исполнителю мотивированную претензию, в которой указывает срок для устранения обнаруженных Заказч</w:t>
      </w:r>
      <w:r>
        <w:rPr>
          <w:rFonts w:ascii="Times New Roman" w:hAnsi="Times New Roman"/>
          <w:szCs w:val="22"/>
          <w:highlight w:val="white"/>
        </w:rPr>
        <w:t>иком недостатков услуг.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Замечания по качеству и (или) объему оказанных Исполнителем услуг, направленные Заказчиком, подлежат рассмотрению Исполнителем в срок не позднее 3 (трех) рабочих дней со дня их получения.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jc w:val="both"/>
        <w:rPr>
          <w:rFonts w:ascii="Times New Roman" w:hAnsi="Times New Roman"/>
          <w:szCs w:val="22"/>
          <w:highlight w:val="white"/>
        </w:rPr>
      </w:pPr>
      <w:r>
        <w:rPr>
          <w:rFonts w:ascii="Times New Roman" w:hAnsi="Times New Roman"/>
          <w:szCs w:val="22"/>
          <w:highlight w:val="white"/>
        </w:rPr>
        <w:t>Исполнитель обязан устранить все обнаруженны</w:t>
      </w:r>
      <w:r>
        <w:rPr>
          <w:rFonts w:ascii="Times New Roman" w:hAnsi="Times New Roman"/>
          <w:szCs w:val="22"/>
          <w:highlight w:val="white"/>
        </w:rPr>
        <w:t>е Заказчиком недостатки оказанных услуг за свой счет в сроки, указанные в претензии Заказчика.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Cs w:val="22"/>
          <w:highlight w:val="white"/>
        </w:rPr>
        <w:t>Днем сдачи оказанных услуг считается день подписания Сторонами акта об оказании услуг.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 </w:t>
      </w:r>
      <w:proofErr w:type="gramStart"/>
      <w:r>
        <w:rPr>
          <w:rFonts w:ascii="Times New Roman" w:hAnsi="Times New Roman"/>
          <w:bCs/>
          <w:szCs w:val="22"/>
        </w:rPr>
        <w:t>Периодический осмотр является завершенным в случае наличия заключений вра</w:t>
      </w:r>
      <w:r>
        <w:rPr>
          <w:rFonts w:ascii="Times New Roman" w:hAnsi="Times New Roman"/>
          <w:bCs/>
          <w:szCs w:val="22"/>
        </w:rPr>
        <w:t>чей-специалистов и результатов лабораторных и функциональных исследований в объеме, установленном договором между медицинской организацией и работодателем, в соответствии с приложением к Порядку проведения периодических осмотров приказа Министерства здраво</w:t>
      </w:r>
      <w:r>
        <w:rPr>
          <w:rFonts w:ascii="Times New Roman" w:hAnsi="Times New Roman"/>
          <w:bCs/>
          <w:szCs w:val="22"/>
        </w:rPr>
        <w:t>охранения РФ от 28 января 2021 г. N 29н, с учетом результатов ранее проведенных (не позднее одного года) медицинских осмотров, диспансеризации.</w:t>
      </w:r>
      <w:proofErr w:type="gramEnd"/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В случаях затруднения в оценке результатов осмотра и определении профессиональной пригодности работника в связи </w:t>
      </w:r>
      <w:r>
        <w:rPr>
          <w:rFonts w:ascii="Times New Roman" w:hAnsi="Times New Roman"/>
          <w:bCs/>
          <w:szCs w:val="22"/>
        </w:rPr>
        <w:t>с имеющимся у него заболеванием работнику выдается справка о необходимости дополнительного медицинского обследования. Работодателю направляется информация о выдаче такой справки, работник считается не прошедшим периодический осмотр с учетом выявленных забо</w:t>
      </w:r>
      <w:r>
        <w:rPr>
          <w:rFonts w:ascii="Times New Roman" w:hAnsi="Times New Roman"/>
          <w:bCs/>
          <w:szCs w:val="22"/>
        </w:rPr>
        <w:t>леваний (состояний) и медицинских противопоказаний к осуществлению отдельных видов работ.</w:t>
      </w:r>
    </w:p>
    <w:p w:rsidR="00B7293D" w:rsidRDefault="003031B6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На основании результатов периодического осмотра работнику даются рекомендации по профилактике заболеваний, в том числе профессиональных заболеваний, а при наличии мед</w:t>
      </w:r>
      <w:r>
        <w:rPr>
          <w:rFonts w:ascii="Times New Roman" w:hAnsi="Times New Roman"/>
          <w:bCs/>
          <w:szCs w:val="22"/>
        </w:rPr>
        <w:t>ицинских показаний - по дальнейшему наблюдению, лечению и медицинской реабилитации, которые оформляются в медицинской карте в медицинской организации, в которой проводился медицинский осмотр. Результаты медицинского осмотра могут использоваться работодател</w:t>
      </w:r>
      <w:r>
        <w:rPr>
          <w:rFonts w:ascii="Times New Roman" w:hAnsi="Times New Roman"/>
          <w:bCs/>
          <w:szCs w:val="22"/>
        </w:rPr>
        <w:t>ем при установлении принадлежности работника к одной из групп риска развития профессиональных заболеваний.</w:t>
      </w:r>
    </w:p>
    <w:p w:rsidR="00B7293D" w:rsidRDefault="003031B6">
      <w:pPr>
        <w:numPr>
          <w:ilvl w:val="1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В случае, когда работник не сможет пройти медицинский осмотр в определенный срок, </w:t>
      </w:r>
      <w:proofErr w:type="gramStart"/>
      <w:r>
        <w:rPr>
          <w:rFonts w:ascii="Times New Roman" w:hAnsi="Times New Roman"/>
          <w:bCs/>
          <w:szCs w:val="22"/>
        </w:rPr>
        <w:t>согласно графика</w:t>
      </w:r>
      <w:proofErr w:type="gramEnd"/>
      <w:r>
        <w:rPr>
          <w:rFonts w:ascii="Times New Roman" w:hAnsi="Times New Roman"/>
          <w:bCs/>
          <w:szCs w:val="22"/>
        </w:rPr>
        <w:t xml:space="preserve"> (командировка, пребывание в отпуске с отъездом, на</w:t>
      </w:r>
      <w:r>
        <w:rPr>
          <w:rFonts w:ascii="Times New Roman" w:hAnsi="Times New Roman"/>
          <w:bCs/>
          <w:szCs w:val="22"/>
        </w:rPr>
        <w:t xml:space="preserve"> больничном листе), медицинский осмотр данной категории граждан будет проводиться в согласованные сроки в рамках заключенного договора по месту расположения «Исполнителя».</w:t>
      </w:r>
    </w:p>
    <w:p w:rsidR="00B7293D" w:rsidRDefault="003031B6">
      <w:pPr>
        <w:numPr>
          <w:ilvl w:val="1"/>
          <w:numId w:val="1"/>
        </w:numPr>
        <w:tabs>
          <w:tab w:val="clear" w:pos="170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10. Гарантийные обязательства.</w:t>
      </w:r>
    </w:p>
    <w:p w:rsidR="00B7293D" w:rsidRDefault="003031B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Периодический медицинский осмотр должен быть выполнен</w:t>
      </w:r>
      <w:r>
        <w:rPr>
          <w:rFonts w:ascii="Times New Roman" w:hAnsi="Times New Roman"/>
          <w:szCs w:val="22"/>
        </w:rPr>
        <w:t xml:space="preserve"> </w:t>
      </w:r>
      <w:proofErr w:type="gramStart"/>
      <w:r>
        <w:rPr>
          <w:rFonts w:ascii="Times New Roman" w:hAnsi="Times New Roman"/>
          <w:szCs w:val="22"/>
        </w:rPr>
        <w:t>согласно договора</w:t>
      </w:r>
      <w:proofErr w:type="gramEnd"/>
      <w:r>
        <w:rPr>
          <w:rFonts w:ascii="Times New Roman" w:hAnsi="Times New Roman"/>
          <w:szCs w:val="22"/>
        </w:rPr>
        <w:t xml:space="preserve"> в установленные сроки и надлежащего качества.</w:t>
      </w:r>
      <w:r>
        <w:rPr>
          <w:rFonts w:ascii="Times New Roman" w:hAnsi="Times New Roman"/>
          <w:szCs w:val="22"/>
        </w:rPr>
        <w:tab/>
      </w:r>
    </w:p>
    <w:p w:rsidR="00B7293D" w:rsidRDefault="003031B6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Медицинская организация, проводившая медицинский осмотр несет полную ответственность за достоверный и полный объем проведения соответствующих исследований, осмотров.</w:t>
      </w:r>
    </w:p>
    <w:p w:rsidR="00B7293D" w:rsidRDefault="00B7293D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:rsidR="00B7293D" w:rsidRDefault="003031B6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 xml:space="preserve">11. </w:t>
      </w:r>
      <w:r>
        <w:rPr>
          <w:rFonts w:ascii="Times New Roman" w:hAnsi="Times New Roman"/>
          <w:b/>
          <w:szCs w:val="22"/>
        </w:rPr>
        <w:t>Перечень и объемы оказываемой услуги:</w:t>
      </w:r>
    </w:p>
    <w:tbl>
      <w:tblPr>
        <w:tblW w:w="14561" w:type="dxa"/>
        <w:tblInd w:w="17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2380"/>
        <w:gridCol w:w="9317"/>
        <w:gridCol w:w="1276"/>
        <w:gridCol w:w="991"/>
      </w:tblGrid>
      <w:tr w:rsidR="00B7293D">
        <w:trPr>
          <w:trHeight w:val="98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п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/п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Объект закупки</w:t>
            </w:r>
          </w:p>
        </w:tc>
        <w:tc>
          <w:tcPr>
            <w:tcW w:w="9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Основные характеристики объекта закупки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Ед. изм.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Кол-во</w:t>
            </w:r>
          </w:p>
        </w:tc>
      </w:tr>
      <w:tr w:rsidR="00B7293D">
        <w:trPr>
          <w:trHeight w:val="68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1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Предварительный медицинский осмотр мужчин </w:t>
            </w:r>
          </w:p>
        </w:tc>
        <w:tc>
          <w:tcPr>
            <w:tcW w:w="9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расчет на основании антропометрии (измерение роста, массы тела, окружности талии) индекса мас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сы тела,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общий анализ крови (гемоглобин, цветной показатель, эритроциты, тромбоциты, лейкоциты, лейкоцитарная формула, скорость оседания эритроцитов); клинический анализ мочи (удельный вес, белок, сахар,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микроскопия осадка); электрокардиография в покое, проводится для граждан в возрасте 18 лет и старше;</w:t>
            </w:r>
            <w:proofErr w:type="gramEnd"/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измерение артериального давления на периферических артериях,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определение уровня общего холестерина в крови (допускается использование экспресс-метода),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уровня глюкозы в крови натощак (допускается использование экспресс-метода), проводится для гражда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определение абсолютного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сердечно-сосудистого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риска у граждан в возрасте старше 40 лет;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определение относительного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сердечно-сосудистого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риска у граждан в возрасте от 18 до 40 лет включительно.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Сердечно-сосудистый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 определяется по шкале сердечно-сосудистого риска SCORE, при этом у граждан, имеющих сердечно-сосудистые заболевания атероскл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флюорография ил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ия (рентгеноскопия) или компьютерная томография органов грудной клетки;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измерение внутриглазного давления при прохождении периодического осмотра, начиная с 40 лет.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смотр врача-терапевта, врача-невролога, врача-психиатра и врача-нарколога.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осмотр вра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оториноларинголога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дерматовенеролога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врача-стоматолога.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крови на сифилис.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на гельминтозы.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чел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14</w:t>
            </w:r>
          </w:p>
        </w:tc>
      </w:tr>
      <w:tr w:rsidR="00B7293D">
        <w:trPr>
          <w:trHeight w:val="63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2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Предварительный медицинский осмотр женщины (до 40 лет)</w:t>
            </w:r>
          </w:p>
        </w:tc>
        <w:tc>
          <w:tcPr>
            <w:tcW w:w="9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расчет на основании антропометрии (измерение роста, массы 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тела, окружности талии) индекса массы тела,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общий анализ крови (гемоглобин, цветной показатель, эритроциты, тромбоциты, лейкоциты, лейкоцитарная формула, скорость оседания эритроцитов); клинический анали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з мочи (удельный вес, белок, сахар, микроскопия осадка); электрокардиография в покое, проводится для граждан в возрасте 18 лет и старше;</w:t>
            </w:r>
            <w:proofErr w:type="gramEnd"/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измерение артериального давления на периферических артериях,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определение уровня общего холестерина в крови (допускается использование экспресс-метода),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исследование уровня глюкозы в крови натощак (допускается использование экспресс-метода), 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проводится для гражда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определение относительного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сердечно-сосудистого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риска у граждан в возрасте от 18 до 40 лет включительно.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Сердечно-сосудистый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 определяется по шкале сердечно-сосудистого риска SCORE, при этом у граждан, имеющих сердечно-с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телей шкалы;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ась флюорография, рентгенография (рентгеноскопия) или компьютерная томография органов грудной клетки;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осмотр врача-терапевта, врача-невролога, врача-психиатра и врача-нарколога.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женщины - осмотр врачом - акушером-гинекологом с проведением бактериологич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еского (на флору) и цитологического (на атипичные клетки) исследования, ультразвуковое исследование органов малого таза;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осмотр врача-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оториноларинголога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дерматовенеролога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врача-стоматолога.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крови на сифилис.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на гельм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интозы.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чел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16</w:t>
            </w:r>
          </w:p>
        </w:tc>
      </w:tr>
      <w:tr w:rsidR="00B7293D">
        <w:trPr>
          <w:trHeight w:val="63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3</w:t>
            </w:r>
          </w:p>
        </w:tc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Предварительный медицинский осмотр женщины (После 40 лет)</w:t>
            </w:r>
          </w:p>
        </w:tc>
        <w:tc>
          <w:tcPr>
            <w:tcW w:w="93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расчет на основании антропометрии (измерение роста, массы тела, окружности талии) индекса массы тела,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общий анализ крови (гемоглобин, цветной показатель, эритроциты, тромбоциты, лейкоциты, лейкоцитарная формула, скорость оседания эритроцитов); клинический анализ мочи (удельный вес, белок, сахар, микроскопия осадка); электрокардиография в покое, проводитс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я для граждан в возрасте 18 лет и старше;</w:t>
            </w:r>
            <w:proofErr w:type="gramEnd"/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измерение артериального давления на периферических артериях,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определение уровня общего холестерина в крови (допускается использование экспресс-метода), проводи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уровня глюкозы в крови натощак (допускается использование экспресс-метода), проводится для граждан в возрасте 18 лет и старше;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определение абсолютного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сердечно-сосудистого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 риска у граждан в возра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сте старше 40 лет;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оводилась флюорография, рентгенография (рентгеноскопия) или компьютерная томография органов грудной клетки;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измерение внутриглазного давления при прохождении периодического осмотра, начиная с 40 лет.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смотр врача-терапевта, врача-невролога, врача-психи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атра и врача-нарколога.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женщины - осмотр врачом - акушером-гинекологом с проведением бактериологического (на флору) и цитологического (на атипичные клетки) исследования, ультразвуковое исследование 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органов малого таза;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женщины в возрасте старше 40 лет 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маммографию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 xml:space="preserve">- </w:t>
            </w:r>
            <w:proofErr w:type="gram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</w:t>
            </w:r>
            <w:proofErr w:type="gram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смотр врача-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оториноларинголога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</w:t>
            </w:r>
            <w:proofErr w:type="spellStart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дерматовенеролога</w:t>
            </w:r>
            <w:proofErr w:type="spellEnd"/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, врача-с</w:t>
            </w: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томатолога.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крови на сифилис.</w:t>
            </w:r>
          </w:p>
          <w:p w:rsidR="00B7293D" w:rsidRDefault="003031B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- исследование на гельминтозы.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lastRenderedPageBreak/>
              <w:t>чел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  <w:lang w:eastAsia="ar-SA"/>
              </w:rPr>
              <w:t>28</w:t>
            </w:r>
          </w:p>
        </w:tc>
      </w:tr>
      <w:tr w:rsidR="00B7293D">
        <w:trPr>
          <w:trHeight w:val="240"/>
        </w:trPr>
        <w:tc>
          <w:tcPr>
            <w:tcW w:w="59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one" w:sz="4" w:space="0" w:color="000000"/>
            </w:tcBorders>
          </w:tcPr>
          <w:p w:rsidR="00B7293D" w:rsidRDefault="00B7293D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</w:pPr>
          </w:p>
        </w:tc>
        <w:tc>
          <w:tcPr>
            <w:tcW w:w="23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7293D" w:rsidRDefault="003031B6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  <w:t>ИТОГО: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93D" w:rsidRDefault="00B7293D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7293D" w:rsidRDefault="00B7293D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7293D" w:rsidRDefault="00B7293D">
            <w:pPr>
              <w:widowControl w:val="0"/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bCs/>
                <w:color w:val="000000" w:themeColor="text1"/>
                <w:szCs w:val="22"/>
                <w:lang w:eastAsia="ar-SA"/>
              </w:rPr>
            </w:pPr>
          </w:p>
        </w:tc>
      </w:tr>
    </w:tbl>
    <w:p w:rsidR="00B7293D" w:rsidRDefault="003031B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Cs w:val="22"/>
        </w:rPr>
      </w:pPr>
      <w:r>
        <w:rPr>
          <w:rFonts w:ascii="Times New Roman" w:hAnsi="Times New Roman"/>
          <w:i/>
          <w:iCs/>
          <w:color w:val="000000" w:themeColor="text1"/>
          <w:szCs w:val="22"/>
        </w:rPr>
        <w:t xml:space="preserve">Количество </w:t>
      </w:r>
      <w:proofErr w:type="gramStart"/>
      <w:r>
        <w:rPr>
          <w:rFonts w:ascii="Times New Roman" w:hAnsi="Times New Roman"/>
          <w:i/>
          <w:iCs/>
          <w:color w:val="000000" w:themeColor="text1"/>
          <w:szCs w:val="22"/>
        </w:rPr>
        <w:t>лиц, подлежащих периодическому медицинскому осмотру может</w:t>
      </w:r>
      <w:proofErr w:type="gramEnd"/>
      <w:r>
        <w:rPr>
          <w:rFonts w:ascii="Times New Roman" w:hAnsi="Times New Roman"/>
          <w:i/>
          <w:iCs/>
          <w:color w:val="000000" w:themeColor="text1"/>
          <w:szCs w:val="22"/>
        </w:rPr>
        <w:t xml:space="preserve"> быть уменьшено или увеличено с перерасчетом цены договора.</w:t>
      </w:r>
    </w:p>
    <w:p w:rsidR="00B7293D" w:rsidRDefault="00B7293D">
      <w:pPr>
        <w:pStyle w:val="af8"/>
        <w:tabs>
          <w:tab w:val="num" w:pos="142"/>
          <w:tab w:val="left" w:pos="708"/>
        </w:tabs>
        <w:spacing w:after="0" w:line="240" w:lineRule="auto"/>
        <w:ind w:left="0"/>
        <w:rPr>
          <w:rFonts w:ascii="Times New Roman" w:hAnsi="Times New Roman"/>
          <w:b/>
          <w:i/>
          <w:iCs/>
          <w:color w:val="000000" w:themeColor="text1"/>
          <w:szCs w:val="22"/>
          <w:lang w:eastAsia="ar-SA"/>
        </w:rPr>
      </w:pPr>
    </w:p>
    <w:p w:rsidR="00B7293D" w:rsidRDefault="00B7293D">
      <w:pPr>
        <w:spacing w:after="0" w:line="240" w:lineRule="auto"/>
        <w:jc w:val="both"/>
        <w:rPr>
          <w:rFonts w:ascii="Times New Roman" w:hAnsi="Times New Roman"/>
          <w:b/>
          <w:szCs w:val="22"/>
          <w:highlight w:val="white"/>
        </w:rPr>
      </w:pPr>
    </w:p>
    <w:p w:rsidR="00B7293D" w:rsidRDefault="003031B6">
      <w:r>
        <w:t>‍⁠‌​‍⁠﻿﻿‍​‍﻿‌​⁠﻿⁠‌‌﻿﻿‌‍‍​⁠​‍​‍‌​‌⁠‍​﻿‍‌⁠⁠​‍‌</w:t>
      </w:r>
    </w:p>
    <w:sectPr w:rsidR="00B7293D">
      <w:pgSz w:w="16838" w:h="11906" w:orient="landscape"/>
      <w:pgMar w:top="851" w:right="1134" w:bottom="85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1B6" w:rsidRDefault="003031B6">
      <w:pPr>
        <w:spacing w:after="0" w:line="240" w:lineRule="auto"/>
      </w:pPr>
      <w:r>
        <w:separator/>
      </w:r>
    </w:p>
  </w:endnote>
  <w:endnote w:type="continuationSeparator" w:id="0">
    <w:p w:rsidR="003031B6" w:rsidRDefault="00303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scadia Code ExtraLigh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1B6" w:rsidRDefault="003031B6">
      <w:pPr>
        <w:spacing w:after="0" w:line="240" w:lineRule="auto"/>
      </w:pPr>
      <w:r>
        <w:separator/>
      </w:r>
    </w:p>
  </w:footnote>
  <w:footnote w:type="continuationSeparator" w:id="0">
    <w:p w:rsidR="003031B6" w:rsidRDefault="00303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57D34"/>
    <w:multiLevelType w:val="hybridMultilevel"/>
    <w:tmpl w:val="2F7E3E14"/>
    <w:lvl w:ilvl="0" w:tplc="FB105F3C">
      <w:start w:val="1"/>
      <w:numFmt w:val="none"/>
      <w:suff w:val="nothing"/>
      <w:lvlText w:val=""/>
      <w:lvlJc w:val="left"/>
      <w:pPr>
        <w:tabs>
          <w:tab w:val="num" w:pos="1702"/>
        </w:tabs>
        <w:ind w:left="2134" w:hanging="432"/>
      </w:pPr>
    </w:lvl>
    <w:lvl w:ilvl="1" w:tplc="0C2A1110">
      <w:start w:val="1"/>
      <w:numFmt w:val="none"/>
      <w:suff w:val="nothing"/>
      <w:lvlText w:val=""/>
      <w:lvlJc w:val="left"/>
      <w:pPr>
        <w:tabs>
          <w:tab w:val="num" w:pos="1702"/>
        </w:tabs>
        <w:ind w:left="2278" w:hanging="576"/>
      </w:pPr>
    </w:lvl>
    <w:lvl w:ilvl="2" w:tplc="EA6CCEAA">
      <w:start w:val="1"/>
      <w:numFmt w:val="none"/>
      <w:suff w:val="nothing"/>
      <w:lvlText w:val=""/>
      <w:lvlJc w:val="left"/>
      <w:pPr>
        <w:tabs>
          <w:tab w:val="num" w:pos="1702"/>
        </w:tabs>
        <w:ind w:left="2422" w:hanging="720"/>
      </w:pPr>
    </w:lvl>
    <w:lvl w:ilvl="3" w:tplc="0BB0B892">
      <w:start w:val="1"/>
      <w:numFmt w:val="none"/>
      <w:suff w:val="nothing"/>
      <w:lvlText w:val=""/>
      <w:lvlJc w:val="left"/>
      <w:pPr>
        <w:tabs>
          <w:tab w:val="num" w:pos="1702"/>
        </w:tabs>
        <w:ind w:left="2566" w:hanging="864"/>
      </w:pPr>
    </w:lvl>
    <w:lvl w:ilvl="4" w:tplc="63449B16">
      <w:start w:val="1"/>
      <w:numFmt w:val="none"/>
      <w:suff w:val="nothing"/>
      <w:lvlText w:val=""/>
      <w:lvlJc w:val="left"/>
      <w:pPr>
        <w:tabs>
          <w:tab w:val="num" w:pos="1702"/>
        </w:tabs>
        <w:ind w:left="2710" w:hanging="1008"/>
      </w:pPr>
    </w:lvl>
    <w:lvl w:ilvl="5" w:tplc="0DB0956C">
      <w:start w:val="1"/>
      <w:numFmt w:val="none"/>
      <w:suff w:val="nothing"/>
      <w:lvlText w:val=""/>
      <w:lvlJc w:val="left"/>
      <w:pPr>
        <w:tabs>
          <w:tab w:val="num" w:pos="1702"/>
        </w:tabs>
        <w:ind w:left="2854" w:hanging="1152"/>
      </w:pPr>
    </w:lvl>
    <w:lvl w:ilvl="6" w:tplc="BCCA15D0">
      <w:start w:val="1"/>
      <w:numFmt w:val="none"/>
      <w:suff w:val="nothing"/>
      <w:lvlText w:val=""/>
      <w:lvlJc w:val="left"/>
      <w:pPr>
        <w:tabs>
          <w:tab w:val="num" w:pos="1702"/>
        </w:tabs>
        <w:ind w:left="2998" w:hanging="1296"/>
      </w:pPr>
    </w:lvl>
    <w:lvl w:ilvl="7" w:tplc="48BCDD70">
      <w:start w:val="1"/>
      <w:numFmt w:val="none"/>
      <w:suff w:val="nothing"/>
      <w:lvlText w:val=""/>
      <w:lvlJc w:val="left"/>
      <w:pPr>
        <w:tabs>
          <w:tab w:val="num" w:pos="1702"/>
        </w:tabs>
        <w:ind w:left="3142" w:hanging="1440"/>
      </w:pPr>
    </w:lvl>
    <w:lvl w:ilvl="8" w:tplc="AAF64112">
      <w:start w:val="1"/>
      <w:numFmt w:val="none"/>
      <w:suff w:val="nothing"/>
      <w:lvlText w:val=""/>
      <w:lvlJc w:val="left"/>
      <w:pPr>
        <w:tabs>
          <w:tab w:val="num" w:pos="1702"/>
        </w:tabs>
        <w:ind w:left="3286" w:hanging="1584"/>
      </w:pPr>
    </w:lvl>
  </w:abstractNum>
  <w:abstractNum w:abstractNumId="1">
    <w:nsid w:val="3BAB4046"/>
    <w:multiLevelType w:val="hybridMultilevel"/>
    <w:tmpl w:val="00C4C618"/>
    <w:lvl w:ilvl="0" w:tplc="376C7498">
      <w:start w:val="1"/>
      <w:numFmt w:val="decimal"/>
      <w:pStyle w:val="1"/>
      <w:suff w:val="nothing"/>
      <w:lvlText w:val=""/>
      <w:lvlJc w:val="left"/>
      <w:pPr>
        <w:widowControl/>
        <w:tabs>
          <w:tab w:val="left" w:pos="1702"/>
        </w:tabs>
        <w:ind w:left="2134" w:hanging="432"/>
      </w:pPr>
    </w:lvl>
    <w:lvl w:ilvl="1" w:tplc="7164A398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2278" w:hanging="576"/>
      </w:pPr>
    </w:lvl>
    <w:lvl w:ilvl="2" w:tplc="94DE9B30">
      <w:start w:val="1"/>
      <w:numFmt w:val="decimal"/>
      <w:pStyle w:val="3"/>
      <w:suff w:val="nothing"/>
      <w:lvlText w:val=""/>
      <w:lvlJc w:val="left"/>
      <w:pPr>
        <w:widowControl/>
        <w:tabs>
          <w:tab w:val="left" w:pos="1702"/>
        </w:tabs>
        <w:ind w:left="2422" w:hanging="720"/>
      </w:pPr>
    </w:lvl>
    <w:lvl w:ilvl="3" w:tplc="07BAB870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2566" w:hanging="864"/>
      </w:pPr>
    </w:lvl>
    <w:lvl w:ilvl="4" w:tplc="562067AA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2710" w:hanging="1008"/>
      </w:pPr>
    </w:lvl>
    <w:lvl w:ilvl="5" w:tplc="4842595C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2854" w:hanging="1152"/>
      </w:pPr>
    </w:lvl>
    <w:lvl w:ilvl="6" w:tplc="9DCE7DB2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2998" w:hanging="1296"/>
      </w:pPr>
    </w:lvl>
    <w:lvl w:ilvl="7" w:tplc="984C1432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3142" w:hanging="1440"/>
      </w:pPr>
    </w:lvl>
    <w:lvl w:ilvl="8" w:tplc="1658AE2E">
      <w:start w:val="1"/>
      <w:numFmt w:val="decimal"/>
      <w:suff w:val="nothing"/>
      <w:lvlText w:val=""/>
      <w:lvlJc w:val="left"/>
      <w:pPr>
        <w:widowControl/>
        <w:tabs>
          <w:tab w:val="left" w:pos="1702"/>
        </w:tabs>
        <w:ind w:left="3286" w:hanging="1584"/>
      </w:pPr>
    </w:lvl>
  </w:abstractNum>
  <w:abstractNum w:abstractNumId="2">
    <w:nsid w:val="44BE5D08"/>
    <w:multiLevelType w:val="hybridMultilevel"/>
    <w:tmpl w:val="74DEDC42"/>
    <w:lvl w:ilvl="0" w:tplc="5B982D28">
      <w:start w:val="2"/>
      <w:numFmt w:val="decimal"/>
      <w:lvlText w:val="%1"/>
      <w:lvlJc w:val="left"/>
      <w:pPr>
        <w:ind w:left="821" w:hanging="360"/>
      </w:pPr>
      <w:rPr>
        <w:rFonts w:hint="default"/>
        <w:b/>
      </w:rPr>
    </w:lvl>
    <w:lvl w:ilvl="1" w:tplc="A1326FBE">
      <w:start w:val="1"/>
      <w:numFmt w:val="lowerLetter"/>
      <w:lvlText w:val="%2."/>
      <w:lvlJc w:val="left"/>
      <w:pPr>
        <w:ind w:left="1541" w:hanging="360"/>
      </w:pPr>
    </w:lvl>
    <w:lvl w:ilvl="2" w:tplc="4A3EABF6">
      <w:start w:val="1"/>
      <w:numFmt w:val="lowerRoman"/>
      <w:lvlText w:val="%3."/>
      <w:lvlJc w:val="right"/>
      <w:pPr>
        <w:ind w:left="2261" w:hanging="180"/>
      </w:pPr>
    </w:lvl>
    <w:lvl w:ilvl="3" w:tplc="66461080">
      <w:start w:val="1"/>
      <w:numFmt w:val="decimal"/>
      <w:lvlText w:val="%4."/>
      <w:lvlJc w:val="left"/>
      <w:pPr>
        <w:ind w:left="2981" w:hanging="360"/>
      </w:pPr>
    </w:lvl>
    <w:lvl w:ilvl="4" w:tplc="789A2CA6">
      <w:start w:val="1"/>
      <w:numFmt w:val="lowerLetter"/>
      <w:lvlText w:val="%5."/>
      <w:lvlJc w:val="left"/>
      <w:pPr>
        <w:ind w:left="3701" w:hanging="360"/>
      </w:pPr>
    </w:lvl>
    <w:lvl w:ilvl="5" w:tplc="4BAA2BE2">
      <w:start w:val="1"/>
      <w:numFmt w:val="lowerRoman"/>
      <w:lvlText w:val="%6."/>
      <w:lvlJc w:val="right"/>
      <w:pPr>
        <w:ind w:left="4421" w:hanging="180"/>
      </w:pPr>
    </w:lvl>
    <w:lvl w:ilvl="6" w:tplc="0366D43E">
      <w:start w:val="1"/>
      <w:numFmt w:val="decimal"/>
      <w:lvlText w:val="%7."/>
      <w:lvlJc w:val="left"/>
      <w:pPr>
        <w:ind w:left="5141" w:hanging="360"/>
      </w:pPr>
    </w:lvl>
    <w:lvl w:ilvl="7" w:tplc="E474DD30">
      <w:start w:val="1"/>
      <w:numFmt w:val="lowerLetter"/>
      <w:lvlText w:val="%8."/>
      <w:lvlJc w:val="left"/>
      <w:pPr>
        <w:ind w:left="5861" w:hanging="360"/>
      </w:pPr>
    </w:lvl>
    <w:lvl w:ilvl="8" w:tplc="0EC62A2E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6F3C2E3F"/>
    <w:multiLevelType w:val="hybridMultilevel"/>
    <w:tmpl w:val="CB80993C"/>
    <w:lvl w:ilvl="0" w:tplc="3F285266">
      <w:start w:val="1"/>
      <w:numFmt w:val="decimal"/>
      <w:lvlText w:val="%1."/>
      <w:lvlJc w:val="left"/>
      <w:pPr>
        <w:ind w:left="821" w:hanging="360"/>
      </w:pPr>
      <w:rPr>
        <w:rFonts w:hint="default"/>
        <w:b/>
      </w:rPr>
    </w:lvl>
    <w:lvl w:ilvl="1" w:tplc="A15AA802">
      <w:start w:val="1"/>
      <w:numFmt w:val="lowerLetter"/>
      <w:lvlText w:val="%2."/>
      <w:lvlJc w:val="left"/>
      <w:pPr>
        <w:ind w:left="1541" w:hanging="360"/>
      </w:pPr>
    </w:lvl>
    <w:lvl w:ilvl="2" w:tplc="E2DA6438">
      <w:start w:val="1"/>
      <w:numFmt w:val="lowerRoman"/>
      <w:lvlText w:val="%3."/>
      <w:lvlJc w:val="right"/>
      <w:pPr>
        <w:ind w:left="2261" w:hanging="180"/>
      </w:pPr>
    </w:lvl>
    <w:lvl w:ilvl="3" w:tplc="4B86C560">
      <w:start w:val="1"/>
      <w:numFmt w:val="decimal"/>
      <w:lvlText w:val="%4."/>
      <w:lvlJc w:val="left"/>
      <w:pPr>
        <w:ind w:left="2981" w:hanging="360"/>
      </w:pPr>
    </w:lvl>
    <w:lvl w:ilvl="4" w:tplc="8AF2CEF6">
      <w:start w:val="1"/>
      <w:numFmt w:val="lowerLetter"/>
      <w:lvlText w:val="%5."/>
      <w:lvlJc w:val="left"/>
      <w:pPr>
        <w:ind w:left="3701" w:hanging="360"/>
      </w:pPr>
    </w:lvl>
    <w:lvl w:ilvl="5" w:tplc="6908F99E">
      <w:start w:val="1"/>
      <w:numFmt w:val="lowerRoman"/>
      <w:lvlText w:val="%6."/>
      <w:lvlJc w:val="right"/>
      <w:pPr>
        <w:ind w:left="4421" w:hanging="180"/>
      </w:pPr>
    </w:lvl>
    <w:lvl w:ilvl="6" w:tplc="AFFE458E">
      <w:start w:val="1"/>
      <w:numFmt w:val="decimal"/>
      <w:lvlText w:val="%7."/>
      <w:lvlJc w:val="left"/>
      <w:pPr>
        <w:ind w:left="5141" w:hanging="360"/>
      </w:pPr>
    </w:lvl>
    <w:lvl w:ilvl="7" w:tplc="B5A87ABE">
      <w:start w:val="1"/>
      <w:numFmt w:val="lowerLetter"/>
      <w:lvlText w:val="%8."/>
      <w:lvlJc w:val="left"/>
      <w:pPr>
        <w:ind w:left="5861" w:hanging="360"/>
      </w:pPr>
    </w:lvl>
    <w:lvl w:ilvl="8" w:tplc="62EC7CC0">
      <w:start w:val="1"/>
      <w:numFmt w:val="lowerRoman"/>
      <w:lvlText w:val="%9."/>
      <w:lvlJc w:val="right"/>
      <w:pPr>
        <w:ind w:left="658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3D"/>
    <w:rsid w:val="003031B6"/>
    <w:rsid w:val="0031244D"/>
    <w:rsid w:val="00B7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pPr>
      <w:spacing w:after="160" w:line="259" w:lineRule="auto"/>
    </w:pPr>
    <w:rPr>
      <w:rFonts w:ascii="Calibri" w:hAnsi="Calibri"/>
    </w:rPr>
  </w:style>
  <w:style w:type="paragraph" w:styleId="1">
    <w:name w:val="heading 1"/>
    <w:basedOn w:val="a"/>
    <w:next w:val="a"/>
    <w:link w:val="11"/>
    <w:uiPriority w:val="9"/>
    <w:qFormat/>
    <w:pPr>
      <w:keepNext/>
      <w:widowControl w:val="0"/>
      <w:numPr>
        <w:numId w:val="2"/>
      </w:numPr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0"/>
    <w:link w:val="30"/>
    <w:qFormat/>
    <w:pPr>
      <w:keepNext/>
      <w:keepLines/>
      <w:widowControl w:val="0"/>
      <w:numPr>
        <w:ilvl w:val="2"/>
        <w:numId w:val="2"/>
      </w:numPr>
      <w:spacing w:before="200" w:after="0" w:line="240" w:lineRule="auto"/>
      <w:outlineLvl w:val="2"/>
    </w:pPr>
    <w:rPr>
      <w:rFonts w:ascii="Cambria" w:hAnsi="Cambria"/>
      <w:b/>
      <w:color w:val="4F81BD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1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Обычный1"/>
    <w:rPr>
      <w:rFonts w:ascii="Calibri" w:hAnsi="Calibri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f5">
    <w:name w:val="Balloon Text"/>
    <w:basedOn w:val="a"/>
    <w:link w:val="af6"/>
    <w:pPr>
      <w:spacing w:after="0" w:line="240" w:lineRule="auto"/>
    </w:pPr>
    <w:rPr>
      <w:rFonts w:ascii="Tahoma" w:hAnsi="Tahoma"/>
      <w:sz w:val="16"/>
    </w:rPr>
  </w:style>
  <w:style w:type="character" w:customStyle="1" w:styleId="af6">
    <w:name w:val="Текст выноски Знак"/>
    <w:basedOn w:val="10"/>
    <w:link w:val="af5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b/>
      <w:color w:val="4F81BD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agetitile-button-container">
    <w:name w:val="pagetitile-button-container"/>
    <w:basedOn w:val="12"/>
    <w:link w:val="pagetitile-button-container0"/>
  </w:style>
  <w:style w:type="character" w:customStyle="1" w:styleId="pagetitile-button-container0">
    <w:name w:val="pagetitile-button-container"/>
    <w:basedOn w:val="a1"/>
    <w:link w:val="pagetitile-button-container"/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13">
    <w:name w:val="Гиперссылка1"/>
    <w:basedOn w:val="12"/>
    <w:link w:val="af7"/>
    <w:rPr>
      <w:color w:val="0000FF"/>
      <w:u w:val="single"/>
    </w:rPr>
  </w:style>
  <w:style w:type="character" w:styleId="af7">
    <w:name w:val="Hyperlink"/>
    <w:basedOn w:val="a1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f8">
    <w:name w:val="List Paragraph"/>
    <w:basedOn w:val="a"/>
    <w:link w:val="af9"/>
    <w:qFormat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customStyle="1" w:styleId="af9">
    <w:name w:val="Абзац списка Знак"/>
    <w:basedOn w:val="10"/>
    <w:link w:val="af8"/>
    <w:rPr>
      <w:rFonts w:asciiTheme="minorHAnsi" w:hAnsiTheme="minorHAnsi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0">
    <w:name w:val="Body Text"/>
    <w:basedOn w:val="a"/>
    <w:link w:val="afc"/>
    <w:pPr>
      <w:spacing w:after="120"/>
    </w:pPr>
  </w:style>
  <w:style w:type="character" w:customStyle="1" w:styleId="afc">
    <w:name w:val="Основной текст Знак"/>
    <w:basedOn w:val="10"/>
    <w:link w:val="a0"/>
    <w:rPr>
      <w:rFonts w:ascii="Calibri" w:hAnsi="Calibri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2">
    <w:name w:val="Основной шрифт абзаца1"/>
  </w:style>
  <w:style w:type="paragraph" w:customStyle="1" w:styleId="pagetitle-item">
    <w:name w:val="pagetitle-item"/>
    <w:basedOn w:val="12"/>
    <w:link w:val="pagetitle-item0"/>
  </w:style>
  <w:style w:type="character" w:customStyle="1" w:styleId="pagetitle-item0">
    <w:name w:val="pagetitle-item"/>
    <w:basedOn w:val="a1"/>
    <w:link w:val="pagetitle-item"/>
  </w:style>
  <w:style w:type="table" w:styleId="aff">
    <w:name w:val="Table Grid"/>
    <w:basedOn w:val="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pPr>
      <w:spacing w:after="160" w:line="259" w:lineRule="auto"/>
    </w:pPr>
    <w:rPr>
      <w:rFonts w:ascii="Calibri" w:hAnsi="Calibri"/>
    </w:rPr>
  </w:style>
  <w:style w:type="paragraph" w:styleId="1">
    <w:name w:val="heading 1"/>
    <w:basedOn w:val="a"/>
    <w:next w:val="a"/>
    <w:link w:val="11"/>
    <w:uiPriority w:val="9"/>
    <w:qFormat/>
    <w:pPr>
      <w:keepNext/>
      <w:widowControl w:val="0"/>
      <w:numPr>
        <w:numId w:val="2"/>
      </w:numPr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0"/>
    <w:link w:val="30"/>
    <w:qFormat/>
    <w:pPr>
      <w:keepNext/>
      <w:keepLines/>
      <w:widowControl w:val="0"/>
      <w:numPr>
        <w:ilvl w:val="2"/>
        <w:numId w:val="2"/>
      </w:numPr>
      <w:spacing w:before="200" w:after="0" w:line="240" w:lineRule="auto"/>
      <w:outlineLvl w:val="2"/>
    </w:pPr>
    <w:rPr>
      <w:rFonts w:ascii="Cambria" w:hAnsi="Cambria"/>
      <w:b/>
      <w:color w:val="4F81BD"/>
      <w:sz w:val="24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1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1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1"/>
    <w:uiPriority w:val="99"/>
    <w:semiHidden/>
    <w:unhideWhenUsed/>
    <w:rPr>
      <w:vertAlign w:val="superscript"/>
    </w:r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Обычный1"/>
    <w:rPr>
      <w:rFonts w:ascii="Calibri" w:hAnsi="Calibri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f5">
    <w:name w:val="Balloon Text"/>
    <w:basedOn w:val="a"/>
    <w:link w:val="af6"/>
    <w:pPr>
      <w:spacing w:after="0" w:line="240" w:lineRule="auto"/>
    </w:pPr>
    <w:rPr>
      <w:rFonts w:ascii="Tahoma" w:hAnsi="Tahoma"/>
      <w:sz w:val="16"/>
    </w:rPr>
  </w:style>
  <w:style w:type="character" w:customStyle="1" w:styleId="af6">
    <w:name w:val="Текст выноски Знак"/>
    <w:basedOn w:val="10"/>
    <w:link w:val="af5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0"/>
    <w:link w:val="3"/>
    <w:rPr>
      <w:rFonts w:ascii="Cambria" w:hAnsi="Cambria"/>
      <w:b/>
      <w:color w:val="4F81BD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agetitile-button-container">
    <w:name w:val="pagetitile-button-container"/>
    <w:basedOn w:val="12"/>
    <w:link w:val="pagetitile-button-container0"/>
  </w:style>
  <w:style w:type="character" w:customStyle="1" w:styleId="pagetitile-button-container0">
    <w:name w:val="pagetitile-button-container"/>
    <w:basedOn w:val="a1"/>
    <w:link w:val="pagetitile-button-container"/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13">
    <w:name w:val="Гиперссылка1"/>
    <w:basedOn w:val="12"/>
    <w:link w:val="af7"/>
    <w:rPr>
      <w:color w:val="0000FF"/>
      <w:u w:val="single"/>
    </w:rPr>
  </w:style>
  <w:style w:type="character" w:styleId="af7">
    <w:name w:val="Hyperlink"/>
    <w:basedOn w:val="a1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f8">
    <w:name w:val="List Paragraph"/>
    <w:basedOn w:val="a"/>
    <w:link w:val="af9"/>
    <w:qFormat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customStyle="1" w:styleId="af9">
    <w:name w:val="Абзац списка Знак"/>
    <w:basedOn w:val="10"/>
    <w:link w:val="af8"/>
    <w:rPr>
      <w:rFonts w:asciiTheme="minorHAnsi" w:hAnsiTheme="minorHAnsi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0">
    <w:name w:val="Body Text"/>
    <w:basedOn w:val="a"/>
    <w:link w:val="afc"/>
    <w:pPr>
      <w:spacing w:after="120"/>
    </w:pPr>
  </w:style>
  <w:style w:type="character" w:customStyle="1" w:styleId="afc">
    <w:name w:val="Основной текст Знак"/>
    <w:basedOn w:val="10"/>
    <w:link w:val="a0"/>
    <w:rPr>
      <w:rFonts w:ascii="Calibri" w:hAnsi="Calibri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2">
    <w:name w:val="Основной шрифт абзаца1"/>
  </w:style>
  <w:style w:type="paragraph" w:customStyle="1" w:styleId="pagetitle-item">
    <w:name w:val="pagetitle-item"/>
    <w:basedOn w:val="12"/>
    <w:link w:val="pagetitle-item0"/>
  </w:style>
  <w:style w:type="character" w:customStyle="1" w:styleId="pagetitle-item0">
    <w:name w:val="pagetitle-item"/>
    <w:basedOn w:val="a1"/>
    <w:link w:val="pagetitle-item"/>
  </w:style>
  <w:style w:type="table" w:styleId="aff">
    <w:name w:val="Table Grid"/>
    <w:basedOn w:val="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2785</Words>
  <Characters>15879</Characters>
  <Application>Microsoft Office Word</Application>
  <DocSecurity>0</DocSecurity>
  <Lines>132</Lines>
  <Paragraphs>37</Paragraphs>
  <ScaleCrop>false</ScaleCrop>
  <Company/>
  <LinksUpToDate>false</LinksUpToDate>
  <CharactersWithSpaces>18627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Ирина Александровна</dc:creator>
  <dc:description>DOC-MARKER-2Q2IRGVMcFdr0puV1Rt6Sg</dc:description>
  <cp:lastModifiedBy>Пользователь</cp:lastModifiedBy>
  <cp:revision>5</cp:revision>
  <dcterms:created xsi:type="dcterms:W3CDTF">2026-09-14T12:48:00Z</dcterms:created>
  <dcterms:modified xsi:type="dcterms:W3CDTF">2026-09-23T04:18:00Z</dcterms:modified>
</cp:coreProperties>
</file>