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left="5812"/>
        <w:spacing w:after="0" w:afterAutospacing="0" w:line="240" w:lineRule="auto"/>
        <w:rPr>
          <w:rFonts w:ascii="Liberation Serif" w:hAnsi="Liberation Serif" w:eastAsia="Liberation Serif" w:cs="Liberation Serif"/>
          <w:sz w:val="22"/>
          <w:szCs w:val="22"/>
          <w:highlight w:val="none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УТВЕРЖДАЮ:</w:t>
      </w:r>
      <w:r>
        <w:rPr>
          <w:rFonts w:ascii="Liberation Serif" w:hAnsi="Liberation Serif" w:eastAsia="Liberation Serif" w:cs="Liberation Serif"/>
          <w:sz w:val="22"/>
          <w:szCs w:val="22"/>
          <w:highlight w:val="none"/>
        </w:rPr>
      </w:r>
      <w:r>
        <w:rPr>
          <w:rFonts w:ascii="Liberation Serif" w:hAnsi="Liberation Serif" w:eastAsia="Liberation Serif" w:cs="Liberation Serif"/>
          <w:sz w:val="22"/>
          <w:szCs w:val="22"/>
          <w:highlight w:val="none"/>
        </w:rPr>
      </w:r>
    </w:p>
    <w:p>
      <w:pPr>
        <w:contextualSpacing/>
        <w:ind w:left="5812"/>
        <w:spacing w:after="0" w:afterAutospacing="0" w:line="240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contextualSpacing/>
        <w:ind w:left="5812"/>
        <w:spacing w:after="0" w:afterAutospacing="0" w:line="240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_____________ 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/Балахнин К.В./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contextualSpacing/>
        <w:ind w:left="5812"/>
        <w:spacing w:after="0" w:afterAutospacing="0" w:line="240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«____»__________ 20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26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 г.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947"/>
        <w:contextualSpacing/>
        <w:ind w:left="5812"/>
        <w:spacing w:after="0" w:afterAutospacing="0" w:line="240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contextualSpacing/>
        <w:ind w:left="5812"/>
        <w:spacing w:after="0" w:afterAutospacing="0" w:line="240" w:lineRule="auto"/>
        <w:tabs>
          <w:tab w:val="left" w:pos="6300" w:leader="none"/>
        </w:tabs>
        <w:rPr>
          <w:rFonts w:ascii="Liberation Serif" w:hAnsi="Liberation Serif" w:cs="Liberation Serif"/>
          <w:sz w:val="22"/>
          <w:szCs w:val="22"/>
          <w:highlight w:val="none"/>
          <w:u w:val="single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Номер запроса котировок </w:t>
      </w:r>
      <w:r>
        <w:rPr>
          <w:rFonts w:ascii="Liberation Serif" w:hAnsi="Liberation Serif" w:eastAsia="Liberation Serif" w:cs="Liberation Serif"/>
          <w:sz w:val="22"/>
          <w:szCs w:val="22"/>
          <w:u w:val="none"/>
        </w:rPr>
        <w:t xml:space="preserve">№</w:t>
      </w:r>
      <w:r>
        <w:rPr>
          <w:rFonts w:ascii="Liberation Serif" w:hAnsi="Liberation Serif" w:eastAsia="Liberation Serif" w:cs="Liberation Serif"/>
          <w:sz w:val="22"/>
          <w:szCs w:val="22"/>
          <w:u w:val="none"/>
        </w:rPr>
        <w:t xml:space="preserve"> ___</w:t>
      </w:r>
      <w:r>
        <w:rPr>
          <w:rFonts w:ascii="Liberation Serif" w:hAnsi="Liberation Serif" w:eastAsia="Liberation Serif" w:cs="Liberation Serif"/>
          <w:sz w:val="22"/>
          <w:szCs w:val="22"/>
          <w:u w:val="none"/>
        </w:rPr>
        <w:t xml:space="preserve">/26</w:t>
      </w:r>
      <w:r>
        <w:rPr>
          <w:rFonts w:ascii="Liberation Serif" w:hAnsi="Liberation Serif" w:cs="Liberation Serif"/>
          <w:sz w:val="22"/>
          <w:szCs w:val="22"/>
          <w:highlight w:val="none"/>
          <w:u w:val="single"/>
        </w:rPr>
      </w:r>
      <w:r>
        <w:rPr>
          <w:rFonts w:ascii="Liberation Serif" w:hAnsi="Liberation Serif" w:cs="Liberation Serif"/>
          <w:sz w:val="22"/>
          <w:szCs w:val="22"/>
          <w:highlight w:val="none"/>
          <w:u w:val="single"/>
        </w:rPr>
      </w:r>
    </w:p>
    <w:p>
      <w:pPr>
        <w:contextualSpacing/>
        <w:ind w:left="5812"/>
        <w:spacing w:after="0" w:afterAutospacing="0" w:line="240" w:lineRule="auto"/>
        <w:tabs>
          <w:tab w:val="left" w:pos="6300" w:leader="none"/>
        </w:tabs>
        <w:rPr>
          <w:rFonts w:ascii="Liberation Serif" w:hAnsi="Liberation Serif" w:cs="Liberation Serif"/>
          <w:sz w:val="22"/>
          <w:szCs w:val="22"/>
          <w:u w:val="single"/>
        </w:rPr>
      </w:pPr>
      <w:r>
        <w:rPr>
          <w:rFonts w:ascii="Liberation Serif" w:hAnsi="Liberation Serif" w:eastAsia="Liberation Serif" w:cs="Liberation Serif"/>
          <w:sz w:val="22"/>
          <w:szCs w:val="22"/>
          <w:highlight w:val="none"/>
          <w:u w:val="single"/>
        </w:rPr>
      </w:r>
      <w:r>
        <w:rPr>
          <w:rFonts w:ascii="Liberation Serif" w:hAnsi="Liberation Serif" w:cs="Liberation Serif"/>
          <w:sz w:val="22"/>
          <w:szCs w:val="22"/>
          <w:u w:val="single"/>
        </w:rPr>
      </w:r>
      <w:r>
        <w:rPr>
          <w:rFonts w:ascii="Liberation Serif" w:hAnsi="Liberation Serif" w:cs="Liberation Serif"/>
          <w:sz w:val="22"/>
          <w:szCs w:val="22"/>
          <w:u w:val="single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ИЗВЕЩЕНИЕ О ЗАПРОСЕ КОТИРОВОК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(ЗАПРОС КОТИРОВОК в ЭЛЕКТРОННОЙ ФОРМЕ)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contextualSpacing/>
        <w:jc w:val="center"/>
        <w:widowControl w:val="off"/>
        <w:rPr>
          <w:rFonts w:ascii="Liberation Serif" w:hAnsi="Liberation Serif" w:cs="Liberation Serif"/>
          <w:b/>
          <w:bCs/>
          <w:color w:val="000000"/>
          <w:sz w:val="44"/>
          <w:szCs w:val="44"/>
          <w:highlight w:val="white"/>
          <w:u w:val="single"/>
        </w:rPr>
      </w:pPr>
      <w:r>
        <w:rPr>
          <w:rFonts w:ascii="Liberation Serif" w:hAnsi="Liberation Serif" w:cs="Liberation Serif"/>
          <w:b/>
          <w:bCs/>
          <w:sz w:val="32"/>
          <w:szCs w:val="32"/>
          <w:highlight w:val="white"/>
        </w:rPr>
        <w:t xml:space="preserve">Предмет: </w:t>
      </w:r>
      <w:r>
        <w:rPr>
          <w:rFonts w:ascii="Liberation Serif" w:hAnsi="Liberation Serif" w:cs="Liberation Serif"/>
          <w:b/>
          <w:bCs/>
          <w:sz w:val="24"/>
          <w:szCs w:val="24"/>
          <w:highlight w:val="white"/>
        </w:rPr>
        <w:t xml:space="preserve">П</w:t>
      </w:r>
      <w:r>
        <w:rPr>
          <w:rFonts w:ascii="Liberation Serif" w:hAnsi="Liberation Serif" w:cs="Liberation Serif"/>
          <w:b/>
          <w:bCs/>
          <w:color w:val="000000"/>
          <w:sz w:val="24"/>
          <w:szCs w:val="24"/>
          <w:highlight w:val="white"/>
          <w:u w:val="single"/>
        </w:rPr>
        <w:t xml:space="preserve">оставка (приобретение) дизельного топлива</w:t>
      </w:r>
      <w:r>
        <w:rPr>
          <w:rFonts w:ascii="Liberation Serif" w:hAnsi="Liberation Serif" w:cs="Liberation Serif"/>
          <w:b/>
          <w:bCs/>
          <w:color w:val="000000"/>
          <w:sz w:val="44"/>
          <w:szCs w:val="44"/>
          <w:highlight w:val="white"/>
          <w:u w:val="single"/>
        </w:rPr>
      </w:r>
      <w:r>
        <w:rPr>
          <w:rFonts w:ascii="Liberation Serif" w:hAnsi="Liberation Serif" w:cs="Liberation Serif"/>
          <w:b/>
          <w:bCs/>
          <w:color w:val="000000"/>
          <w:sz w:val="44"/>
          <w:szCs w:val="44"/>
          <w:highlight w:val="white"/>
          <w:u w:val="single"/>
        </w:rPr>
      </w:r>
    </w:p>
    <w:p>
      <w:pPr>
        <w:contextualSpacing/>
        <w:jc w:val="center"/>
        <w:spacing w:after="0" w:afterAutospacing="0" w:line="240" w:lineRule="auto"/>
        <w:widowControl w:val="off"/>
        <w:rPr>
          <w:rFonts w:ascii="Liberation Serif" w:hAnsi="Liberation Serif" w:cs="Liberation Serif"/>
          <w:b/>
          <w:bCs/>
          <w:sz w:val="22"/>
          <w:szCs w:val="22"/>
          <w:u w:val="single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  <w:u w:val="single"/>
        </w:rPr>
      </w:r>
      <w:r>
        <w:rPr>
          <w:rFonts w:ascii="Liberation Serif" w:hAnsi="Liberation Serif" w:cs="Liberation Serif"/>
          <w:b/>
          <w:bCs/>
          <w:sz w:val="22"/>
          <w:szCs w:val="22"/>
          <w:u w:val="single"/>
        </w:rPr>
      </w:r>
    </w:p>
    <w:p>
      <w:pPr>
        <w:contextualSpacing/>
        <w:jc w:val="both"/>
        <w:spacing w:after="0" w:afterAutospacing="0" w:line="240" w:lineRule="auto"/>
        <w:rPr>
          <w:rFonts w:ascii="Liberation Serif" w:hAnsi="Liberation Serif" w:cs="Liberation Serif"/>
          <w:sz w:val="22"/>
          <w:szCs w:val="22"/>
          <w:u w:val="single"/>
        </w:rPr>
      </w:pPr>
      <w:r>
        <w:rPr>
          <w:rFonts w:ascii="Liberation Serif" w:hAnsi="Liberation Serif" w:eastAsia="Liberation Serif" w:cs="Liberation Serif"/>
          <w:sz w:val="22"/>
          <w:szCs w:val="22"/>
          <w:u w:val="single"/>
        </w:rPr>
      </w:r>
      <w:r>
        <w:rPr>
          <w:rFonts w:ascii="Liberation Serif" w:hAnsi="Liberation Serif" w:cs="Liberation Serif"/>
          <w:sz w:val="22"/>
          <w:szCs w:val="22"/>
          <w:u w:val="single"/>
        </w:rPr>
      </w:r>
      <w:r>
        <w:rPr>
          <w:rFonts w:ascii="Liberation Serif" w:hAnsi="Liberation Serif" w:cs="Liberation Serif"/>
          <w:sz w:val="22"/>
          <w:szCs w:val="22"/>
          <w:u w:val="single"/>
        </w:rPr>
      </w:r>
    </w:p>
    <w:tbl>
      <w:tblPr>
        <w:tblW w:w="481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0"/>
      </w:tblGrid>
      <w:tr>
        <w:tblPrEx/>
        <w:trPr/>
        <w:tc>
          <w:tcPr>
            <w:tcMar>
              <w:left w:w="75" w:type="dxa"/>
              <w:top w:w="75" w:type="dxa"/>
              <w:right w:w="450" w:type="dxa"/>
              <w:bottom w:w="75" w:type="dxa"/>
            </w:tcMar>
            <w:tcW w:w="5000" w:type="pct"/>
            <w:textDirection w:val="lrTb"/>
            <w:noWrap w:val="false"/>
          </w:tcPr>
          <w:p>
            <w:pPr>
              <w:contextualSpacing/>
              <w:ind w:left="567" w:right="-144" w:firstLine="0"/>
              <w:jc w:val="center"/>
              <w:spacing w:after="0" w:afterAutospacing="0" w:line="240" w:lineRule="auto"/>
              <w:rPr>
                <w:rFonts w:ascii="Liberation Serif" w:hAnsi="Liberation Serif" w:eastAsia="Liberation Serif" w:cs="Liberation Serif"/>
                <w:sz w:val="24"/>
                <w:szCs w:val="24"/>
                <w:u w:val="single"/>
              </w:rPr>
            </w:pPr>
            <w:r>
              <w:rPr>
                <w:rFonts w:ascii="Liberation Serif" w:hAnsi="Liberation Serif" w:eastAsia="Liberation Serif" w:cs="Liberation Serif"/>
                <w:b/>
                <w:sz w:val="24"/>
                <w:szCs w:val="24"/>
              </w:rPr>
              <w:t xml:space="preserve">Заказчик: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u w:val="single"/>
              </w:rPr>
              <w:t xml:space="preserve">Муни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u w:val="single"/>
              </w:rPr>
              <w:t xml:space="preserve">ципальное автономное учреждени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u w:val="single"/>
              </w:rPr>
              <w:t xml:space="preserve">е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u w:val="singl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u w:val="single"/>
              </w:rPr>
            </w:r>
          </w:p>
          <w:p>
            <w:pPr>
              <w:contextualSpacing/>
              <w:ind w:left="567" w:right="-144" w:firstLine="0"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sz w:val="24"/>
                <w:szCs w:val="24"/>
                <w:u w:val="singl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u w:val="singl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u w:val="singl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auto"/>
                <w:sz w:val="24"/>
                <w:szCs w:val="24"/>
                <w:u w:val="single"/>
                <w:lang w:eastAsia="ar-SA"/>
              </w:rPr>
              <w:t xml:space="preserve">«Центр активного отдыха»</w:t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u w:val="single"/>
              </w:rPr>
            </w:r>
          </w:p>
          <w:tbl>
            <w:tblPr>
              <w:tblW w:w="9354" w:type="dxa"/>
              <w:tblInd w:w="56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69"/>
              <w:gridCol w:w="6785"/>
            </w:tblGrid>
            <w:tr>
              <w:tblPrEx/>
              <w:trPr/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Liberation Serif" w:hAnsi="Liberation Serif" w:cs="Liberation Serif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286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22"/>
                      <w:szCs w:val="22"/>
                    </w:rPr>
                    <w:t xml:space="preserve">Место нахождения:     </w:t>
                  </w:r>
                  <w:r>
                    <w:rPr>
                      <w:rFonts w:ascii="Liberation Serif" w:hAnsi="Liberation Serif" w:cs="Liberation Serif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/>
                      <w:sz w:val="22"/>
                      <w:szCs w:val="22"/>
                      <w:highlight w:val="white"/>
                    </w:rPr>
                    <w:t xml:space="preserve">629404, ЯНАО, муниципальный округ Приуральский район,</w:t>
                  </w:r>
                  <w:r>
                    <w:rPr>
                      <w:rFonts w:ascii="Liberation Serif" w:hAnsi="Liberation Serif" w:cs="Liberation Serif"/>
                      <w:color w:val="000000"/>
                      <w:sz w:val="20"/>
                      <w:szCs w:val="20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color w:val="000000"/>
                      <w:sz w:val="20"/>
                      <w:szCs w:val="20"/>
                      <w:highlight w:val="white"/>
                    </w:rPr>
                  </w:r>
                </w:p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/>
                      <w:sz w:val="22"/>
                      <w:szCs w:val="22"/>
                      <w:highlight w:val="white"/>
                    </w:rPr>
                    <w:t xml:space="preserve">город Лабытнанги, мкр. Октябрьский, д. 1</w:t>
                  </w:r>
                  <w:r>
                    <w:rPr>
                      <w:rFonts w:ascii="Liberation Serif" w:hAnsi="Liberation Serif" w:cs="Liberation Serif"/>
                      <w:color w:val="000000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/>
                      <w:sz w:val="22"/>
                      <w:szCs w:val="22"/>
                    </w:rPr>
                  </w:r>
                </w:p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268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22"/>
                      <w:szCs w:val="22"/>
                    </w:rPr>
                    <w:t xml:space="preserve">Почтовый адрес: </w:t>
                  </w:r>
                  <w:r>
                    <w:rPr>
                      <w:rFonts w:ascii="Liberation Serif" w:hAnsi="Liberation Serif" w:cs="Liberation Serif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/>
                      <w:sz w:val="22"/>
                      <w:szCs w:val="22"/>
                      <w:highlight w:val="white"/>
                    </w:rPr>
                    <w:t xml:space="preserve">629404, ЯНАО, муниципальный округ Приуральский район,</w:t>
                  </w:r>
                  <w:r>
                    <w:rPr>
                      <w:rFonts w:ascii="Liberation Serif" w:hAnsi="Liberation Serif" w:cs="Liberation Serif"/>
                      <w:color w:val="000000"/>
                      <w:sz w:val="20"/>
                      <w:szCs w:val="20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color w:val="000000"/>
                      <w:sz w:val="20"/>
                      <w:szCs w:val="20"/>
                      <w:highlight w:val="white"/>
                    </w:rPr>
                  </w:r>
                </w:p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/>
                      <w:sz w:val="22"/>
                      <w:szCs w:val="22"/>
                      <w:highlight w:val="white"/>
                    </w:rPr>
                    <w:t xml:space="preserve">город Лабытнанги, мкр. Октябрьский, д. 1</w:t>
                  </w:r>
                  <w:r>
                    <w:rPr>
                      <w:rFonts w:ascii="Liberation Serif" w:hAnsi="Liberation Serif" w:cs="Liberation Serif"/>
                      <w:color w:val="000000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/>
                      <w:sz w:val="22"/>
                      <w:szCs w:val="22"/>
                    </w:rPr>
                  </w:r>
                </w:p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176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22"/>
                      <w:szCs w:val="22"/>
                    </w:rPr>
                    <w:t xml:space="preserve">Адрес электронной почты:</w:t>
                  </w:r>
                  <w:r>
                    <w:rPr>
                      <w:rFonts w:ascii="Liberation Serif" w:hAnsi="Liberation Serif" w:cs="Liberation Serif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textDirection w:val="lrTb"/>
                  <w:noWrap w:val="false"/>
                </w:tcPr>
                <w:p>
                  <w:pPr>
                    <w:rPr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color w:val="auto"/>
                      <w:sz w:val="22"/>
                      <w:szCs w:val="22"/>
                    </w:rPr>
                    <w:t xml:space="preserve">cao@lbt.yanao.ru</w:t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25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22"/>
                      <w:szCs w:val="22"/>
                    </w:rPr>
                    <w:t xml:space="preserve">Телефон:</w:t>
                  </w:r>
                  <w:r>
                    <w:rPr>
                      <w:rFonts w:ascii="Liberation Serif" w:hAnsi="Liberation Serif" w:cs="Liberation Serif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eastAsia="Liberation Serif" w:cs="Liberation Serif"/>
                      <w:sz w:val="22"/>
                      <w:szCs w:val="22"/>
                      <w:highlight w:val="non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Liberation Serif" w:hAnsi="Liberation Serif" w:eastAsia="Liberation Serif" w:cs="Liberation Serif"/>
                      <w:sz w:val="22"/>
                      <w:szCs w:val="22"/>
                    </w:rPr>
                    <w:t xml:space="preserve">7 951 989 2422</w:t>
                  </w:r>
                  <w:r>
                    <w:rPr>
                      <w:rFonts w:ascii="Liberation Serif" w:hAnsi="Liberation Serif" w:eastAsia="Liberation Serif" w:cs="Liberation Serif"/>
                      <w:sz w:val="22"/>
                      <w:szCs w:val="22"/>
                      <w:highlight w:val="non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22"/>
                      <w:szCs w:val="22"/>
                      <w:highlight w:val="none"/>
                    </w:rPr>
                  </w:r>
                </w:p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22"/>
                      <w:szCs w:val="22"/>
                      <w:highlight w:val="none"/>
                    </w:rPr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 +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(34992) 5-72-72, внутр. 3082</w:t>
                  </w:r>
                  <w:r>
                    <w:rPr>
                      <w:rFonts w:ascii="Liberation Serif" w:hAnsi="Liberation Serif" w:cs="Liberation Serif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136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22"/>
                      <w:szCs w:val="22"/>
                    </w:rPr>
                    <w:t xml:space="preserve">Ответственное должностное лицо</w:t>
                  </w:r>
                  <w:r>
                    <w:rPr>
                      <w:rFonts w:ascii="Liberation Serif" w:hAnsi="Liberation Serif" w:cs="Liberation Serif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textDirection w:val="lrTb"/>
                  <w:noWrap w:val="false"/>
                </w:tcPr>
                <w:p>
                  <w:pPr>
                    <w:contextualSpacing/>
                    <w:ind w:left="0" w:right="0" w:firstLine="0"/>
                    <w:jc w:val="both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</w:pP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Ч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е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б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о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т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а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р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е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в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а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 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И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р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к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я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н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 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З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а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к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и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р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о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в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н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  <w:t xml:space="preserve">а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highlight w:val="white"/>
                    </w:rPr>
                  </w:r>
                </w:p>
              </w:tc>
            </w:tr>
          </w:tbl>
          <w:p>
            <w:pPr>
              <w:contextualSpacing/>
              <w:spacing w:after="0" w:afterAutospacing="0" w:line="240" w:lineRule="auto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</w:tbl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Style w:val="954"/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Style w:val="954"/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tbl>
      <w:tblPr>
        <w:tblW w:w="1006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496"/>
      </w:tblGrid>
      <w:tr>
        <w:tblPrEx/>
        <w:trPr>
          <w:trHeight w:val="42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left="42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Способ осуществления закупки.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5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Запрос котировок в электронной форме.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87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Адрес электронной площадки в информационно-телекоммуникационной сети «Интернет» 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982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69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Документация об осуществлении данной закупки размещается на электронной площадке, функционирующей в соответствии с едиными требованиями, предусмотренными Федеральным законом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от 18 июля 2011 года № 223-ФЗ «О закупках товаров, работ, услуг отдельными видами юридических лиц»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и дополнительными требованиями, установленными Правительством Российской Федерации на сайте электронной площадки: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http://www.etp-region.ru.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5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left="42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Наименование, место нахождения, почтовый адрес, адрес электронной почты, номер контактного телефона заказчика. 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1504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widowControl w:val="off"/>
              <w:rPr>
                <w:rFonts w:ascii="Liberation Serif" w:hAnsi="Liberation Serif" w:eastAsia="Liberation Serif" w:cs="Liberation Serif"/>
                <w:b w:val="0"/>
                <w:bCs w:val="0"/>
                <w:color w:val="auto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  <w:highlight w:val="white"/>
              </w:rPr>
              <w:t xml:space="preserve">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  <w:highlight w:val="white"/>
              </w:rPr>
              <w:t xml:space="preserve">аименование Заказчика: Муниципальное автономное учреждение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auto"/>
                <w:sz w:val="19"/>
                <w:szCs w:val="19"/>
                <w:lang w:eastAsia="ar-SA"/>
              </w:rPr>
              <w:t xml:space="preserve">«Центр активного отдыха»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auto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auto"/>
                <w:sz w:val="19"/>
                <w:szCs w:val="19"/>
              </w:rPr>
            </w:r>
          </w:p>
          <w:p>
            <w:pPr>
              <w:contextualSpacing/>
              <w:spacing w:after="0" w:afterAutospacing="0" w:line="240" w:lineRule="auto"/>
              <w:rPr>
                <w:rFonts w:ascii="Liberation Serif" w:hAnsi="Liberation Serif" w:cs="Liberation Serif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  <w:highlight w:val="white"/>
              </w:rPr>
              <w:t xml:space="preserve">              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  <w:highlight w:val="white"/>
              </w:rPr>
              <w:t xml:space="preserve">Место нахождения, почтовый адрес Заказчика: </w:t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white"/>
              </w:rPr>
              <w:t xml:space="preserve">629404, ЯНАО, муниципальный округ Приуральский район,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  <w:highlight w:val="white"/>
              </w:rPr>
            </w:r>
          </w:p>
          <w:p>
            <w:pPr>
              <w:contextualSpacing/>
              <w:spacing w:after="0" w:afterAutospacing="0" w:line="240" w:lineRule="auto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white"/>
              </w:rPr>
              <w:t xml:space="preserve">город Лабытнанги, мкр. Октябрьский, д. 1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widowControl w:val="off"/>
              <w:rPr>
                <w:rFonts w:ascii="Liberation Serif" w:hAnsi="Liberation Serif" w:eastAsia="Liberation Serif" w:cs="Liberation Serif"/>
                <w:color w:val="auto"/>
                <w:sz w:val="19"/>
                <w:szCs w:val="19"/>
              </w:rPr>
            </w:pPr>
            <w:r>
              <w:rPr>
                <w:rFonts w:ascii="Liberation Serif" w:hAnsi="Liberation Serif" w:cs="Liberation Serif"/>
                <w:color w:val="auto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  <w:highlight w:val="white"/>
              </w:rPr>
              <w:t xml:space="preserve">Адрес электронной почты: </w:t>
            </w:r>
            <w:r>
              <w:rPr>
                <w:rFonts w:ascii="Liberation Serif" w:hAnsi="Liberation Serif" w:eastAsia="Liberation Serif" w:cs="Liberation Serif"/>
                <w:color w:val="auto"/>
                <w:sz w:val="19"/>
                <w:szCs w:val="19"/>
              </w:rPr>
              <w:t xml:space="preserve">cao@lbt.yanao.ru</w:t>
            </w:r>
            <w:r>
              <w:rPr>
                <w:rFonts w:ascii="Liberation Serif" w:hAnsi="Liberation Serif" w:eastAsia="Liberation Serif" w:cs="Liberation Serif"/>
                <w:color w:val="auto"/>
                <w:sz w:val="19"/>
                <w:szCs w:val="19"/>
              </w:rPr>
            </w:r>
            <w:r>
              <w:rPr>
                <w:rFonts w:ascii="Liberation Serif" w:hAnsi="Liberation Serif" w:eastAsia="Liberation Serif" w:cs="Liberation Serif"/>
                <w:color w:val="auto"/>
                <w:sz w:val="19"/>
                <w:szCs w:val="19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  <w:highlight w:val="white"/>
              </w:rPr>
              <w:t xml:space="preserve">Контактные телефоны: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  <w:highlight w:val="white"/>
              </w:rPr>
              <w:t xml:space="preserve">+7 951 989 2422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  <w:highlight w:val="white"/>
              </w:rPr>
            </w:r>
          </w:p>
          <w:p>
            <w:pPr>
              <w:contextualSpacing/>
              <w:ind w:left="0" w:right="0" w:firstLine="0"/>
              <w:jc w:val="both"/>
              <w:spacing w:before="0" w:beforeAutospacing="0"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  <w:highlight w:val="white"/>
              </w:rPr>
              <w:t xml:space="preserve">              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  <w:highlight w:val="white"/>
              </w:rPr>
              <w:t xml:space="preserve">Контактное лицо: 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Ч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е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б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о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т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р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е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в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И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р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к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я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н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З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к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и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р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о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в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н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highlight w:val="white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  <w:highlight w:val="white"/>
              </w:rPr>
              <w:t xml:space="preserve">Контактный телефон: +7-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  <w:highlight w:val="white"/>
              </w:rPr>
              <w:t xml:space="preserve">9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  <w:highlight w:val="white"/>
              </w:rPr>
              <w:t xml:space="preserve">9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  <w:highlight w:val="white"/>
              </w:rPr>
              <w:t xml:space="preserve">9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  <w:highlight w:val="white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  <w:highlight w:val="white"/>
              </w:rPr>
              <w:t xml:space="preserve">5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  <w:highlight w:val="white"/>
              </w:rPr>
              <w:t xml:space="preserve">9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  <w:highlight w:val="white"/>
              </w:rPr>
              <w:t xml:space="preserve">0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  <w:highlight w:val="white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  <w:highlight w:val="white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  <w:highlight w:val="white"/>
              </w:rPr>
              <w:t xml:space="preserve">914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  <w:highlight w:val="white"/>
              </w:rPr>
            </w:r>
          </w:p>
        </w:tc>
      </w:tr>
      <w:tr>
        <w:tblPrEx/>
        <w:trPr>
          <w:trHeight w:val="451"/>
        </w:trPr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4.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Положение о закупке товаров, работ, услуг для нужд Заказчика.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53"/>
        </w:trPr>
        <w:tc>
          <w:tcPr>
            <w:gridSpan w:val="2"/>
            <w:tcW w:w="1006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green"/>
              </w:rPr>
              <w:suppressLineNumbers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Положение о закупке товаров, работ, услуг для нужд МАУ "ЦАО" размещено по ссылке:https://zakupki.gov.ru.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green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green"/>
              </w:rPr>
            </w:r>
          </w:p>
        </w:tc>
      </w:tr>
      <w:tr>
        <w:tblPrEx/>
        <w:trPr>
          <w:trHeight w:val="553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5. 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Предмет запроса котировок с указанием количества поставляемого товара,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а также краткое описание предмета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в соответствии с </w:t>
            </w:r>
            <w:hyperlink w:tooltip="#P166" w:anchor="P166" w:history="1">
              <w:r>
                <w:rPr>
                  <w:rFonts w:ascii="Liberation Serif" w:hAnsi="Liberation Serif" w:eastAsia="Liberation Serif" w:cs="Liberation Serif"/>
                  <w:b/>
                  <w:color w:val="000000" w:themeColor="text1"/>
                  <w:sz w:val="20"/>
                  <w:szCs w:val="20"/>
                </w:rPr>
                <w:t xml:space="preserve">частью 6.1 статьи 3</w:t>
              </w:r>
            </w:hyperlink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Закона 223-ФЗ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716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pStyle w:val="931"/>
              <w:contextualSpacing/>
              <w:ind w:left="0" w:right="0" w:firstLine="709"/>
              <w:jc w:val="both"/>
              <w:spacing w:after="0" w:line="240" w:lineRule="auto"/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u w:val="none"/>
              </w:rPr>
              <w:t xml:space="preserve">Предмет договора: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0"/>
                <w:szCs w:val="20"/>
                <w:u w:val="non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u w:val="none"/>
              </w:rPr>
              <w:t xml:space="preserve">п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u w:val="none"/>
              </w:rPr>
              <w:t xml:space="preserve">оставка не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u w:val="none"/>
              </w:rPr>
              <w:t xml:space="preserve">фтепродуктов.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u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u w:val="none"/>
              </w:rPr>
            </w:r>
          </w:p>
          <w:p>
            <w:pPr>
              <w:contextualSpacing/>
              <w:ind w:left="0" w:right="0" w:firstLine="709"/>
              <w:jc w:val="both"/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Cs/>
                <w:sz w:val="20"/>
                <w:szCs w:val="20"/>
                <w:u w:val="none"/>
              </w:rPr>
              <w:t xml:space="preserve">Объем услуг и иные условия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u w:val="none"/>
              </w:rPr>
              <w:t xml:space="preserve">определяются в Техническом задании согласно</w:t>
            </w:r>
            <w:r>
              <w:rPr>
                <w:rFonts w:ascii="Liberation Serif" w:hAnsi="Liberation Serif" w:eastAsia="Liberation Serif" w:cs="Liberation Serif"/>
                <w:bCs/>
                <w:sz w:val="20"/>
                <w:szCs w:val="20"/>
                <w:u w:val="non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u w:val="none"/>
              </w:rPr>
              <w:t xml:space="preserve">приложению №2 Извещения</w:t>
            </w:r>
            <w:r>
              <w:rPr>
                <w:rFonts w:ascii="Liberation Serif" w:hAnsi="Liberation Serif" w:eastAsia="Liberation Serif" w:cs="Liberation Serif"/>
                <w:bCs/>
                <w:sz w:val="20"/>
                <w:szCs w:val="20"/>
                <w:u w:val="none"/>
              </w:rPr>
              <w:t xml:space="preserve">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</w:tr>
      <w:tr>
        <w:tblPrEx/>
        <w:trPr>
          <w:trHeight w:val="4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6.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Порядок и место подачи заявок на участие в закупке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25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widowControl w:val="off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Участнику закупки для участия в запросе котировок и подаче котировочных заявок на участие необходимо быть зарегистрированными и получить аккредитацию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 электронной площадке в порядке, установленном Федеральным законом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от 18 июля 2011 года № 223-ФЗ «О закупках товаров, работ, услуг отдельными видами юридических лиц»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Если в документации о закупке установлено требование к обеспечению заявки на участие в закупке, участие в запросе котировок возможно только при предоставлении участником закупки такого обеспечения. Подача участником закупки заявки на участие является согл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асием такого участника закупки на списание денежных средств, находящихся на его счете, открытом для проведения операций по обеспечению участия в закупках, в качестве платы за участие в запросе котировок в случае признания такого участника победителем.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Место (адрес) подачи заявок: 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частники закупки подают заявки на участие в запросе котировок на сайте электронной площадки в сети Интернет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http://www.etp-region.ru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порядке, установленном регламентом работы данной электронной площадки.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Обмен информацией, связанный с про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ведением запроса котировок между участниками закупки, заказчиком, оператором электронной площадки осуществляется на электронной площадке в форме электронных документов. Электронные документы участника закупки в электронной форме, заказчика, оператора элект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ронной площадки должны быть подписаны усиленной квалифицированной электронной подписью (далее – электронная подпись) лица, имеющего право действовать от имени соответственно участника закупки в электронной форме, заказчика, оператора электронной площадки.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Участники закупки должны подать заявку по форме, указать информацию и приложить документы в порядке, установленном в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 Оператор электронной площадки обеспечивает участникам закупки возможность включения в состав заявки и направления заказчику информации и документов, указанных в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посредством программно-аппаратных средств электронной площадки в случае их представления данному оператору при аккредитации на электронной площадке.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При формировании сведений, связанных с участием в запросе котировок, и необходимых для заполнения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с использованием функционала и в соответствии с регламентом электронной площадки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участник закупки обяз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ан при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заполнении экранной формы заявки указать сведения о цене договора, по которой он согласен заключить договор по итогам соответствующей закупки. В случае расхождения сведений о цене, указанных в соответствующем поле экранной формы заявки на электронно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й площадке и сведений о цене договора, указанных в каких-либо приложенных документах, содержащихся в загруженном файле, для формирования протокола процедуры принимаются сведения о цене договора, представленные в ценовом предложении в составе формы заявки.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Участники закупки пом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имо заполнения сведений, предусмотренных функционалом сайта (экранной формы заявки) оператора электронной площадки, необходимо предоставить (приложить) заявку на участие согласно требованиям к содержанию, оформлению и составу заявки, указанным в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по форме, установленной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Приложении №1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а также предоставить сведения и документы, указанные в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Форма заявки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утвержденная заказчиком, при заполнении участником закупки изменению не подлежит.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Заявка на участие в закупке должна быть подписана усиленной электронной подписью.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закупки вправе подать только одну котировочную заявку в любое время с момента даты и времени начала срока подачи заявок до даты и времени окончания срока подачи заявок.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закупки вправе изменить или отозвать с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вою заявку до истечения срока подачи заявок. Заявка на участие в такой закупке является измененной или отозванной, если изменение осуществлено или уведомление об отзыве заявки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получено до истечения срока подачи заявок на участие в такой закупке, указанный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в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Котировочная заявка также должна содержать документы (в качестве приложений), указанные в пунктах 7-9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я.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Заявки на участие в запросе котировок, поданные после дня окончания срока подачи заявок на участие в запросе котировок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указанного в Извещении о проведении запроса котировок, не рассматриваются.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День и время, указанные в </w:t>
            </w:r>
            <w:r>
              <w:rPr>
                <w:rFonts w:ascii="Liberation Serif" w:hAnsi="Liberation Serif" w:eastAsia="Liberation Serif" w:cs="Liberation Serif"/>
                <w:b/>
                <w:i/>
                <w:color w:val="000000" w:themeColor="text1"/>
                <w:sz w:val="20"/>
                <w:szCs w:val="20"/>
              </w:rPr>
              <w:t xml:space="preserve">п. 30 Извещения</w:t>
            </w:r>
            <w:r>
              <w:rPr>
                <w:rFonts w:ascii="Liberation Serif" w:hAnsi="Liberation Serif" w:eastAsia="Liberation Serif" w:cs="Liberation Serif"/>
                <w:i/>
                <w:color w:val="000000" w:themeColor="text1"/>
                <w:sz w:val="20"/>
                <w:szCs w:val="20"/>
              </w:rPr>
              <w:t xml:space="preserve"> является окончанием срока подачи заявок, по наступлении которых оператором электронной площадки осуществляется предоставление котировочной комиссии открытие доступа к поданным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котировочным заявкам.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2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7.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содержанию и составу заявки на участие в закупке.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283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Заявка на участие в запросе котировок состоит из формы заявки с предложением о цене договора (единицы товара каждого наименования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поставляемого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товара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заказчику при выполнении закупаемых работ, оказании закупаемых услуг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) с приложением следующих сведений (информации) и документов в соответствии с условиями Извещения, в том числе: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1. наименование, фирменное наименов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ание (при наличии), адрес юридического лица в пределах места нахождения юридического лица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учредительный документ, если участником является юридическое лицо;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фамилия, имя, отчество (при наличии),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паспортные данные, адрес места жительства физического лица;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- идентификационный номер налогоп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-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юридического лица, если уча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тником конкурентной закупки является юридическое лицо, или в соответствии с законодательством соответствующего иностранного государства аналог идентификационного номера налогоплательщика таких лиц;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- копии учредительных документов участника закупок (для юридических лиц), копия свидетельства о государственной регистрации в качестве индивидуального предпринимателя (для индивидуального предпринимателя),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если участником конкурентной закупки является юридическое лицо или индивидуальный предприниматель;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2.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огласие участника запроса котировок исполнить условия договора, указанные в Извещении, а также: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а)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при осуществлении закупки работы, услуги, для выполнения, оказания которых используется и (или) поставляется товар (материал)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а-1) предложение о функциональных и качественных характеристиках товара (наимено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вание и конкретные показатели, соответствующие значениям, установленным в Документации о запросе котировок) и указание на товарный знак (его словесное обозначение) (при наличии), марку (при наличии), модель (при наличии), наименование страны происхождения;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а-2) в случае, если участник предлагает для поставки товар, который является эквивалентным товару, в отношении которого в Документации о запросе котировок содержится указание на товарный знак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его словесное обозначение) (при наличии),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 (или) такой участник предлагает для поставки товар, который является эквивалентным товару, указанному в Документации о запросе котировок, то указывает функциональные и качественные характеристики (наименование и 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онкретные показатели товара, соответствующие значениям эквивалентности, установленным данным Документациям) и указание на товарный знак (его словесное обозначение) (при наличии), марку (при наличии), модель (при наличии), наименование страны происхождения;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3. предложение о цене договора,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предложение о цене единицы каждого наименования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поставляемого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товара</w:t>
            </w: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  <w:t xml:space="preserve">заказчику при выполнении закупаемых работ, оказании закупаемых услуг, а также 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сведение (содержание) о ценовом предложении (цене договора) участник закупки 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подает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 в том числе и с использованием программно-аппаратных средств электронной площадки и ее функционала</w:t>
            </w:r>
            <w:r>
              <w:rPr>
                <w:rFonts w:ascii="Liberation Serif" w:hAnsi="Liberation Serif" w:eastAsia="Liberation Serif" w:cs="Liberation Serif"/>
                <w:bCs/>
                <w:sz w:val="20"/>
                <w:szCs w:val="20"/>
              </w:rPr>
              <w:t xml:space="preserve">)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закупки не указывает товарный знак в случае, если предлагаемый участником закупки товар выпускается и реализуется производителем соответственно без применения к нему товарного знака.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Cs/>
                <w:color w:val="000000"/>
                <w:sz w:val="20"/>
                <w:szCs w:val="20"/>
              </w:rPr>
              <w:t xml:space="preserve">Наименование страны происхождения товаров участник закупки указывает в соответствии с Общероссийским классификатором стран мира OK (MK (ИСО 3166) 004-97) 025-2001.</w:t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Cs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4. полученную не ранее, чем за 6 (шесть) месяцев до дня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размещения на официальном сайте извещения о проведении запроса котировок копию выписки из единого государственного реестра юридических лиц, заверенную печатью (при наличии печати) участника закупок и подписанную руководителем участника закупок или уполном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оченным этим руководителем лицом (для юридических лиц), копию выписки из единого государственного реестра индивидуальных предпринимателей, заверенную печатью (при ее наличии) и подписью индивидуального предпринимателя (для индивидуальных предпринимателей).</w:t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none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Участник, в соответствии с Федеральным законом от 27 июля 2010 г. № 210-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ИП о конкретном юридическом лице/индивидуальном предпринимателе в форме электронного документа» (https://service.nalog.ru/vyp/), сформированную в формате PDF и подписанную электронной подписью, которую можно визуализировать, в том числе при распечатывании: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5.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документ, подтверждающий полномочия лица на осуществление действий от имени участника закупок (копия решения о назначении или об избрании, либо приказа о назначен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ии физического лица на должность, в соответствии с которым такое физическое лицо обладает правом действовать от имени участника закупок без доверенности (далее - руководитель). В случае если от имени участника закупок действует иное лицо, котировочная зая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вка должна содержать также доверенность на осуществление действий от имени участника закупок, заверенную печатью (при наличии печати) участника закупок и подписанную руководителем участника закупок (для юридических лиц) или уполномоченным этим руководителе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 лицом, либо нотариально заверенную копию такой доверенности. В случае если указанная доверенность подписана лицом, уполномоченным руководителем участника закупок, котировочная заявка должна содержать также документ, подтверждающий полномочия такого лица: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6.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копии учредитель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ных документов участника закупок (для юридических лиц), копия свидетельства о государственной регистрации в качестве индивидуального предпринимателя (для индивидуального предпринимателя), копии документов, удостоверяющих личность (для иных физических лиц):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7. надлежащим образом заверенный перевод на русский язык документов о государственной регистрац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ии ю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ридического лица или индивидуального предпринимателя согласно законодательству соответствующего государства (для иностранных лиц). Документы должны быть получены не ранее чем за 6 (шесть) месяцев до дня размещения в единой информационной системе Извещения: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 (если заявку подает иностранное лицо);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8. решение об одобрении или о совершении крупной сд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елки (его копию) органами управления юридического лица, если требование о необходимости такого решения для совершения крупной сделки установлено законодательством РФ, учредительными документами юридического лица и если для участника закупок поставка товаро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в, выполнение работ, оказание услуг, выступающих предметом договора, предоставление обеспечения исполнения договора являются крупной сделкой. Если указанные действия не считаются для участника закупки крупной сделкой, представляется соответствующее письмо: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9. документ, декларирующий требованиям, указанным в подпунктах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2-6 пункта 9 Извещения, а в случае если Извещением установлено подтверждение соответствия подпункту 4 пункта 9 Извещения, предоставляются соответствующие документы: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Подтверждение соответствия подпункту 4 пункта 9 Извещения с предоставлением в составе заявки справки - не требуется;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10. документы (их копии), подтверждающие соотв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етствие участника запроса котировок требованиям Извещения и законодательства РФ к лицам, которые осуществляют поставки товаров, выполнение работ, оказание услуг (лицензия, выписка из СРО и т.п.), если требование об их представлении установлено в Извещении;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Требование не установлено и предоставление документов не требуется.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11.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документы (их копии), подтверждающие соответствие работ, услуг требованиям законодательства РФ к таким работам, услугам, если законодательством РФ установлены требования к ним и представление указанных документов в составе заявки предусмотрено Извещением: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Требование не установлено и предоставлен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ие документов в составе заявки не требуется. Документы, которые согласно гражданскому законодательству могут быть представлены только при исполнении обязательств, а также указаны в проекте договора, предоставляются в процессе исполнения договора Заказчику.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12. участники закупок, являющиеся физическими лицами, а также участники закупок, являющиеся юридическими лицами в случае приложения в составе заявки документов,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содержащих персональные данные в отношении своих работников,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№ 152-ФЗ «О персональных данных»;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 (только в случаях, указанных в настоящем подпункте);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eastAsia="Liberation Serif" w:cs="Liberation Serif"/>
                <w:b/>
                <w:bCs/>
                <w:i/>
                <w:color w:val="ff0000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i/>
                <w:iCs/>
                <w:color w:val="ff0000"/>
                <w:sz w:val="20"/>
                <w:szCs w:val="20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  <w:b/>
                <w:bCs/>
                <w:i/>
                <w:iCs/>
                <w:color w:val="ff0000"/>
                <w:sz w:val="20"/>
                <w:szCs w:val="20"/>
              </w:rPr>
              <w:t xml:space="preserve">3) </w:t>
            </w:r>
            <w:r>
              <w:rPr>
                <w:rFonts w:ascii="Liberation Serif" w:hAnsi="Liberation Serif" w:eastAsia="Liberation Serif" w:cs="Liberation Serif"/>
                <w:b/>
                <w:bCs/>
                <w:i/>
                <w:iCs/>
                <w:color w:val="ff0000"/>
                <w:sz w:val="20"/>
                <w:szCs w:val="20"/>
                <w:highlight w:val="white"/>
              </w:rPr>
              <w:t xml:space="preserve">Требуется </w:t>
            </w:r>
            <w:r>
              <w:rPr>
                <w:rFonts w:ascii="Liberation Serif" w:hAnsi="Liberation Serif" w:eastAsia="Liberation Serif" w:cs="Liberation Serif"/>
                <w:b/>
                <w:bCs/>
                <w:i/>
                <w:iCs/>
                <w:color w:val="ff0000"/>
                <w:sz w:val="20"/>
                <w:szCs w:val="20"/>
                <w:highlight w:val="white"/>
              </w:rPr>
              <w:t xml:space="preserve">декларирование участником закупки наименование </w:t>
            </w:r>
            <w:r>
              <w:rPr>
                <w:rFonts w:ascii="Liberation Serif" w:hAnsi="Liberation Serif" w:eastAsia="Liberation Serif" w:cs="Liberation Serif"/>
                <w:b/>
                <w:bCs/>
                <w:i/>
                <w:iCs/>
                <w:color w:val="ff0000"/>
                <w:sz w:val="20"/>
                <w:szCs w:val="20"/>
                <w:highlight w:val="white"/>
              </w:rPr>
              <w:t xml:space="preserve">страны происхождения товара </w:t>
            </w:r>
            <w:r>
              <w:rPr>
                <w:rFonts w:ascii="Liberation Serif" w:hAnsi="Liberation Serif" w:eastAsia="Liberation Serif" w:cs="Liberation Serif"/>
                <w:b/>
                <w:bCs/>
                <w:i/>
                <w:iCs/>
                <w:color w:val="ff0000"/>
                <w:sz w:val="20"/>
                <w:szCs w:val="20"/>
                <w:highlight w:val="white"/>
              </w:rPr>
              <w:t xml:space="preserve">в соответствии с Общероссийским классификатором стран мира OK (MK (ИСО 3166) 004-97) 025-2001.</w:t>
            </w:r>
            <w:r>
              <w:rPr>
                <w:rFonts w:ascii="Liberation Serif" w:hAnsi="Liberation Serif" w:eastAsia="Liberation Serif" w:cs="Liberation Serif"/>
                <w:b/>
                <w:bCs/>
                <w:i/>
                <w:color w:val="ff0000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i/>
                <w:color w:val="ff0000"/>
                <w:sz w:val="20"/>
                <w:szCs w:val="20"/>
                <w:highlight w:val="white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i/>
                <w:iCs/>
                <w:color w:val="ff0000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В случае если Правительством Российской Федерации установлено предусмотренное позицией «в» подпункта 1 пункта 8.2 Положения о закупке преимущество в отношении товара российского происхождения (в том числе поставляемого при выполнении закупаемых работ, оказ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ании закупаемых услуг), работы, услуги, соответственно выполняемой, оказываемой российским лицом, при оценке заявок на участие в закупке осуществляется снижение либо увеличение ценового предложения, поданного в соответствии с Законом № 223-ФЗ и По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ложением о закупке, в соответствии с позицией «а» подпункта 3 пункта 8.3 и позицией «а» подпункта 3 пункта 8.4 Положения о закупке.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Электронные документы, входящие в состав заявки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должны быть представлены участником закупки через электронную площадку в доступном для прочтения формате 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должны иметь один из распространенных форматов документов: с расширением (*.doc), (*.docx), (*.xls), (*.xlsx), (*.txt), (*.pdf), (*.jpg), а также могут быть представлены текстовым, графическим или кроссплатформенным форматами электронных документов либо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иным обеспечивающим отсутствие необходимости применения пользователями ЕИС программного обеспечения, которое требует заключения лицензионного или иного соглашения с правообладателем такого программного обеспечения, если оно предусматривает взимание платы,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 надлежащим образом подписаны электронной цифровой подписью лица, уполномоченного на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осуществление действий от имени участника закупки.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Допускается размещение в составе заявки документов, сохраненных в архивах.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Все файлы не должны иметь защиты от их открытия, изменения, копирования их содержимого или их печати.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Документы и информация, в том числе содержащиеся в реестре участников закупок, аккредитованных на электронной площадке и направляемых заказчику оп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ератором электронной площадки, должны быть достоверными, отображать актуальную информацию об участнике закупки, соответствовать требованиям, установленным законодательством Российской Федерации, и содержать документы с учетом последних внесенных изменений.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Ответственность за достоверность до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кументов и информации, предоставляемых в составе заявки на участие в закупке, и соответствие указанных документов и информации требованиям, установленным законодательством РФ, за действия, совершенные на основании указанных документов и информации, за свое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временное внесение изменений в документы и информацию, предоставляемые в соответствии с настоящим пунктом, за замену указанных в настоящем пункте документов или прекращение их действия несет участник закупки, представивший указанные документы и информацию.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5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8.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форме и оформлению заявки на участие в закупке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2267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Заявка подается по форме, указанной в Приложении № 1 к Извещению.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Заявка и документы, входящие в состав заявки, должны быть составлены на русском языке.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Текст должен быть набран с использованием кириллицы на русском языке (в наименованиях могут быть использованы символы латиницы).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Если заявка и/или какой-либо другой документ, входящий в состав заявки, составлен не на русском языке, к заявке должны быть приложены их надлежащим образом заверенные переводы на русский язык.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Документы, происходящие из иностранного государства, должны быть надлежащим образом легализованы в соответствии с законодательством и международными договорами Российской Федерации.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Отсутствие перевода документов и/или их ненадлежащий вид, наличие противоречий между оригиналом и переводом, которые изм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еняют смысл оригинала, в составе заявки на участие в запросе котировок будет расценено как несоответствие заявки на участие в запросе котировок требованиям Документации, в связи с чем, такой участник закупки не будет допущен до участия в запросе котировок;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Сведения, содержащиеся в заявках участников закупки, должны быть достоверными и не должны допускать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двусмысленных (неоднозначных) толкований, не должны содержать противоречий, в заявке на участие в закупке должны содержаться только достоверные сведения по предмету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Сумма денежных средств в заявке должны быть выражены в валюте, установленной в пункте 16 Извещения.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подачи документа, входящего в состав заявки на участие в запросе котировок, в форме электронного документа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представляется в составе заявки участником закупки с использованием программно-аппаратных средств электронной площадки без предварительного документирования на бумажном носителе.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В заявке необходимо указать сведения, предусмотренные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подпунктами 1-3 пункта 7 Извещения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Указание в заявке</w:t>
            </w:r>
            <w:r>
              <w:rPr>
                <w:rFonts w:ascii="Liberation Serif" w:hAnsi="Liberation Serif" w:eastAsia="Liberation Serif" w:cs="Liberation Serif"/>
                <w:iCs/>
                <w:color w:val="000000" w:themeColor="text1"/>
                <w:sz w:val="20"/>
                <w:szCs w:val="20"/>
              </w:rPr>
              <w:t xml:space="preserve"> объема выполняемых работ, оказываемых услуг или какие либо условия поставки товара, выполнения работ, оказания услуг или включение в заявку документов содержащих такие сведения (дефектные ведомости, сметы и т.д.)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 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u w:val="single"/>
              </w:rPr>
              <w:t xml:space="preserve">не требуется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34" w:firstLine="71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Непредставление необходимых документов в составе заявки, требование в отно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шении которых установлено, наличие в таких документах недостоверных или несоответствующих сведений об участнике закупки, является риском самого участника закупки, подавшего такую заявку, и служит основанием для ее отклонения от участия в запросе котировок.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34" w:firstLine="71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установления недостоверности или несоответствия сведений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 информации об участнике закупки и (или) о товарах (материалах), работах, услугах, содержащихся в документах, предоставленных в составе заявки или в самой заявке на участие в запросе котировок, такой участник не допускается к участию в запросе котировок.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34" w:firstLine="71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Участнику закупки необходимо максимально позаботиться о доступности к содержанию поданной заявки при её рассмотрении котировочной комиссией.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51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9.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firstLine="3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Требования, предъявляемые к участникам закупки и перечень документов, предоставляемых участниками закупки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283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ч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астником закупки является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ствии с Федеральным законом от 14 июля 2022 года № 255-ФЗ «О контроле за деятельностью лиц, находящихся под иностранным влиянием».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Для участия в процедурах закупок участник закупок должен соответствовать следующим требованиям: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eastAsia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1.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соответствие требованиям, устанавливаемым законодательством Российской Федерации, Ямало-Ненецкого автономного округа, муниципальными правовыми актами и иными правовыми актами, а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также решениями комиссий к лицам, осуществляющим поставки товаров, выполнение работ и оказание услуг, являющихся объектом закупок;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Не т</w:t>
            </w: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ребуется</w:t>
            </w: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: 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непроведение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ликвидации участника конк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урентной закупки - юридического лица и отсутствие решения арбитражного суда о признании участника такой закупки - юридического лица или индивидуального предпринимателя несостоятельным (банкротом); 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3.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неприостановление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деятельности участника конкурентной закупки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порядке, установленном Кодексом Российской Федерации об административных правонарушениях; 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4.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отсутствие у участника конкурентной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на которые предоставлены отсрочка, рассрочка, инвестиционный налоговый кредит в соответствии с законодательством РФ о налогах и сборах, которые реструктурированы в соответствии с законодательством РФ, по которым имеется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вступившее в законную силу решение суда о признании обязанности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заявителя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по уплате этих сумм исполненной или которые признаны безнадежными к взысканию в соответствии с законодательством РФ о налогах и сборах) за прошедший календарный год, размер которых 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ревышает двадцать пять процентов балансовой стоимости активов участника такой закупки, по данным бухгалтерской (финансовой) отчетности за последний отчетный период. Участник такой закупки считается соответствующим установленному требованию в случае, если 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конкурентной закупке  не принято; 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5.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отсутствие у участника конкуре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нтной закупки с участием субъектов малого и среднего предпринимательства - физического лица, зарегистрированного в качестве индивидуального предпринимателя, либо у руководителя, членов коллегиального исполнительного органа, лица, исполняющего функции едино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личного исполнительного органа, или главного бухгалтера юридического лица -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(или) преступления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предусмотренные статьями 289, 290, 291, 291.1 Уголовного кодекса Российской Федерации, а также неприменение в отношении указанных физических лиц наказания в виде лишени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 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6.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отсутствие фактов привлечения в течение двух лет до момента подачи заявки на участие в конкурентной закупке с участием субъектов малог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 и среднего предпринимательства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contextualSpacing/>
              <w:ind w:firstLine="709"/>
              <w:jc w:val="both"/>
              <w:spacing w:after="0" w:afterAutospacing="0" w:line="240" w:lineRule="auto"/>
              <w:tabs>
                <w:tab w:val="left" w:pos="1276" w:leader="none"/>
                <w:tab w:val="left" w:pos="1560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7. отсутствие между участником закупки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и заказчиком конфликта интересов, под которым понимаются сл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учаи, при которых руководитель заказчика, член комиссии, лицо, осуществляющее функции по организации и осуществлению закупок заказчика, состоят в браке с физическими лицами, являющимися выгодоприобретателями, единоличным исполнительным органом хозяйственно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органами управления юридических лиц - участников закупки, с физическими лицами, в том числе зарегистрированными в качестве индивидуальных предпринимателей, - участниками закупки либо являются близкими родственниками (родственниками по прямой восходящей 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нисходящей линии (родит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white"/>
              </w:rPr>
              <w:t xml:space="preserve">елями и детьми, дедушкой, бабушкой и внуками), полнородными и неполнородны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ми (имеющими общих отца или мать) братьями и сестрами), усыновителями или усыновленными указанных физических лиц. Под выгодоприобретателями понимаются физически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709"/>
              <w:jc w:val="both"/>
              <w:spacing w:after="0" w:afterAutospacing="0" w:line="240" w:lineRule="auto"/>
              <w:tabs>
                <w:tab w:val="left" w:pos="1276" w:leader="none"/>
                <w:tab w:val="left" w:pos="1560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8. участник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закупки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9. соответствие участника конкурентной закупки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указанным в документации о закупке требованиям законодательства Российской Федерации к лицам, осуществляющим поставку товара, выполнение работы, оказание услуги, являющихся предметом закупки, если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соответствии с законодательством Российской Федерации информация и документы, подтверждающие такое соответствие, содержатся в открытых и общедоступных государственных реестрах, размещенных в информационно-телекоммуникационной сети "Интернет" (с указанием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адреса сайта или страницы сайта в информационно-телекоммуникационной сети "Интернет", на которых размещены эти информация и документы -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Данные сведения Участники закупок указывают в составе формы заявки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);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10. обладание участником закупки исключительными правами на результаты интеллектуальной деятельно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сти, если в связи с исполнением контракта заказчик приобретает права на такие результаты;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требуется;</w:t>
            </w:r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11.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договора; 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12. Отсутствие сведений об участнике закупки в реестрах недобросовестных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поставщиков, предусмотренных Законом № 223-ФЗ, Федеральным законом от 05.04.2013 № 44-ФЗ «О контрактной системе в сфере закупок товаров, работ,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для обеспечения государственных и муниципальных нужд».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Соответствие требованиям, указанным в подпунктах 2-9 настоящего Пункта декларируется участником закупки и предоставляется в составе заявки с использованием программно-аппаратных средств электронной площадки.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Соответствие требованиям, как об участнике закупок, подтверждается предоставлением в составе заявки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 документов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(в качестве приложений), указанные в пункте 7 Извещения.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При выявлении несоответствия участника закупок указанным требованиям, Комиссия отказывает участнику закупок в допуске к участию в запросе котировок.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тветственность за достоверность документов, сведений и информации, содержащихся в них несет участник закупки.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7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10. 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описанию участниками закупки поставляемого товара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, который является предметом закупки, их количественных и качественных характеристик.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7"/>
        </w:trPr>
        <w:tc>
          <w:tcPr>
            <w:gridSpan w:val="2"/>
            <w:tcW w:w="1006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В заявке необходимо указать наименования и характеристики (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  <w:lang w:eastAsia="ru-RU"/>
              </w:rPr>
              <w:t xml:space="preserve">функциональных, качественных, потребительских свойствах,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показатели)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поставляемых и (или)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используемых при выполнении (оказании) работ (услуг) товаров (материалов) по всем позициям перечня работ (услуг),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поставляемых и (или)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используемых товаров (материалов)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Н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аименования т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оваров (материалов), показателей, единицы измерения должны соответствовать наименованиям товаров, показателей и единицам измерения, установленным заказчиком в описании объекта закупки. Конкретизации подлежат только значения показателей, но не их наименован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ия.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  <w:lang w:eastAsia="ru-RU"/>
              </w:rPr>
              <w:t xml:space="preserve"> Сведения о характеристиках (функциональных, качественных, потребительских свойствах) товара (материала), указанные участником закупки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должны име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ть конкретные и однозначные значения (показатели), если для данных значений (показателей) товара, предлагаемого участником закупки, не предусмотрено иное. Количество значений (показателей) должно быть не менее установленных в описании характеристик товара.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сли в описании объекта закупки содержится указание на недействующие стандарты, технические регламенты, и иные документы, разрабатываемые и применяемые в национальной системе стандартизации, принятые в соответствии с законодательством РФ о стандартизации, 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о следует считать их замененными на соответствующие действующие стандарты, технические регламенты, документы, разрабатываемые и применяемые в национальной системе стандартизации, принятые в соответствии с законодательством РФ о стандартизации.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ведения о характеристиках (функциональных, качественных, потребительских свойствах) товара значения показателей, не должны допускать двусмысленных толкований, не должны быть противоречивыми, разноречивыми, двойственными, а так же не должны содержать предпо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ложительную (гипотетическую) или абстрактную  информацию.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При предостав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лении информации о товаре (материале) могут быть использованы только общепринятые обозначения и сокращения, предлагаемые характеристики должны соответствовать характеристикам (показателям) товара, установленным в описании объекта закупки, не должны допуска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ть разночтения или двусмысленное толкование и не должны сопровождаться словами «эквивалент», «аналог», «хуже», «лучше», «должен быть», «должен», «либо», «или», «может быть», «допускается» и т. д.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Показатели товара должны быть предоставлены в объеме, установленном заказчиком.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Участнику закупки рекомендуется соблюдать последовательность указания показателей, установленных заказчиком при описании товара.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В случае, когда предлагаемый товар не может иметь конкретное значение параметра (конкретный показатель) в соответствии со сведениями, предоставляемыми производителями таких товаров, участником закупки указывается диапазон значений.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становление заказчиком характеристик (показателей) товара и их значений или диапазонов значений с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использованием символов «,» (запятая), «;» (точка с запятой) при перечислении требований к характеристикам и значениям товара означает, что данный товар долже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обладать всеми перечисленными параметрами и характеристиками. Использование союза «или», «либо», символа «/», «\» при перечислении требований к параметрам и характеристикам товара означает, что данный товар должен обладать одним из перечисленных параметро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в и характеристик.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спользование совместно союзов «и/или» при перечислении требований к параметрам и характеристикам товара означает, что данный товар должен обладать либо одним из перечисленных параметров и характеристик, либо сразу нескольким параметрами и характеристикам.
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сли значение показателя установлено как верхний и/или нижний предел, сопровождаясь при этом соответственно словами «не менее», «не более», «более», «менее», «от», «до», знаки «≥» (больше или равно), «≤» (меньше или равно), «&gt;» (больше, более), «&lt;» (меньше,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менее) участником закупки в предложении указывается конкретное значение, без сопровождения словами «не менее», «не более», «более», «менее», «от», «до» или знаками «≥», «≤», «&gt;», «&lt;».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ru-RU"/>
              </w:rPr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Если значение показателя установлено одним конкретным значением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, то такое значение не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подлежит изменению (участнику закупки запрещается измен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ять показатели, которые не изменяются), подавая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заявку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 участник соглашается с тем, что товар соответствует показателям, которые не изменяются. В случае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 если характеристики товара отнесены к показателям, которые не изменяются (т.е. установлены заказчиком 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 виде конкретных значений), в договор включаются значения показателей, установленные заказчиком в неизменном виде.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В случае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 если участником закупки изменены значения неизменных показателей, и данные значения не соответствуют значениям, установленным в оп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исании объекта закупки, такая заявка признается несоответствующей требованиям извещения о закупке.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ные обозначения и терминология, то необходимость в других показателях, требованиях, условных обозначениях и терминологии обусловлена потребностью заказчика.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widowControl w:val="off"/>
              <w:tabs>
                <w:tab w:val="left" w:pos="3015" w:leader="none"/>
              </w:tabs>
              <w:rPr>
                <w:rFonts w:ascii="Liberation Serif" w:hAnsi="Liberation Serif" w:cs="Liberation Serif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Указание в заявке</w:t>
            </w:r>
            <w:r>
              <w:rPr>
                <w:rFonts w:ascii="Liberation Serif" w:hAnsi="Liberation Serif" w:eastAsia="Liberation Serif" w:cs="Liberation Serif"/>
                <w:iCs/>
                <w:color w:val="000000" w:themeColor="text1"/>
                <w:sz w:val="20"/>
                <w:szCs w:val="20"/>
                <w:highlight w:val="white"/>
              </w:rPr>
              <w:t xml:space="preserve"> каких-либо условий поставки товара, или включение в заявку </w:t>
            </w:r>
            <w:r>
              <w:rPr>
                <w:rFonts w:ascii="Liberation Serif" w:hAnsi="Liberation Serif" w:eastAsia="Liberation Serif" w:cs="Liberation Serif"/>
                <w:iCs/>
                <w:color w:val="000000" w:themeColor="text1"/>
                <w:sz w:val="20"/>
                <w:szCs w:val="20"/>
                <w:highlight w:val="white"/>
              </w:rPr>
              <w:t xml:space="preserve">документов</w:t>
            </w:r>
            <w:r>
              <w:rPr>
                <w:rFonts w:ascii="Liberation Serif" w:hAnsi="Liberation Serif" w:eastAsia="Liberation Serif" w:cs="Liberation Serif"/>
                <w:iCs/>
                <w:color w:val="000000" w:themeColor="text1"/>
                <w:sz w:val="20"/>
                <w:szCs w:val="20"/>
                <w:highlight w:val="white"/>
              </w:rPr>
              <w:t xml:space="preserve"> содержащих такие сведения (дефектные ведомости, сметы и т.д.)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 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  <w:u w:val="single"/>
              </w:rPr>
              <w:t xml:space="preserve">не требуется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Liberation Serif" w:hAnsi="Liberation Serif" w:cs="Liberation Serif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698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11.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Срок, место и поряд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ок предоставления Извещения о закупке, размер, порядок и сроки внесения платы, взимаемой заказчиком за предоставление данного Извещения, если такая плата установлена заказчиком, за исключением случаев предоставления Извещения в форме электронного документа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283"/>
        </w:trPr>
        <w:tc>
          <w:tcPr>
            <w:gridSpan w:val="2"/>
            <w:tcW w:w="10063" w:type="dxa"/>
            <w:vAlign w:val="center"/>
            <w:vMerge w:val="restart"/>
            <w:textDirection w:val="lrTb"/>
            <w:noWrap w:val="false"/>
          </w:tcPr>
          <w:p>
            <w:pPr>
              <w:pStyle w:val="958"/>
              <w:contextualSpacing/>
              <w:ind w:left="0" w:right="0" w:firstLine="709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Срок предоставления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  <w:lang w:eastAsia="en-US"/>
              </w:rPr>
              <w:t xml:space="preserve">Извещения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  <w:t xml:space="preserve">: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yellow"/>
              </w:rPr>
              <w:t xml:space="preserve">с   23.09.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yellow"/>
              </w:rPr>
              <w:t xml:space="preserve">2026 г. по   01.10.2026 г.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  <w:highlight w:val="yellow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  <w:highlight w:val="yellow"/>
              </w:rPr>
            </w:r>
          </w:p>
          <w:p>
            <w:pPr>
              <w:pStyle w:val="958"/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Место и порядок предоставления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lang w:eastAsia="en-US"/>
              </w:rPr>
              <w:t xml:space="preserve">Извещения: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Извещение о проведении электронного запроса котировок размещается на сайте электронной площадки в сети Интернет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http://www.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etp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region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.ru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и на официальном сайте единой информационной системы </w:t>
            </w:r>
            <w:hyperlink r:id="rId12" w:tooltip="http://www.zakupki.gov.ru/223" w:history="1">
              <w:r>
                <w:rPr>
                  <w:rStyle w:val="955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www.zakupki.gov.ru/223</w:t>
              </w:r>
            </w:hyperlink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и доступна для ознакомления без взимания платы. Заинтересованные лица могут получить полный комплект Извещения о закупке по проводимому электронному запросу котировок на официальном сайте единой информационной системы </w:t>
            </w:r>
            <w:hyperlink r:id="rId13" w:tooltip="http://www.zakupki.gov.ru/223" w:history="1">
              <w:r>
                <w:rPr>
                  <w:rStyle w:val="955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www.zakupki.gov.ru/223</w:t>
              </w:r>
            </w:hyperlink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на сайте электронной площадки в сети Интернет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http://www.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etp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region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.ru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в том числе Заказчик по адресу или посре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дством электронной почты, указанные в п. 3 Извещения, может предоставить в электронной форме на флеш-носитель или по адресу электронной почты участника полный комплект Извещения по проводимому электронному запросу котировок по заявке Участника.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Оплата не требуется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Извещение посредством распечатывания или копирования на бумажном носителе не предоставляется.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68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12.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28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Срок отмены от проведения запроса котировок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705"/>
        </w:trPr>
        <w:tc>
          <w:tcPr>
            <w:gridSpan w:val="2"/>
            <w:tcW w:w="10063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0" w:afterAutospacing="0" w:line="240" w:lineRule="auto"/>
              <w:tabs>
                <w:tab w:val="left" w:pos="1418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Заказчик вправе отменить закупку до наступления даты и времени окончания срока подачи заявок (определяемый как момент открытия доступа к поданным заявкам) на участие в закупке. Решение об отмене закупки размещается на электронной 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лощадки в сети Интернет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http://www.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etp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region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.ru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и в 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диной информ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ационной системе в день принятия этого решения. 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09"/>
              <w:jc w:val="both"/>
              <w:spacing w:after="0" w:afterAutospacing="0" w:line="240" w:lineRule="auto"/>
              <w:tabs>
                <w:tab w:val="left" w:pos="1418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 истечении срока отмены закупки в соответствии с абзацем 1 настоящего Пункта и до заключения договора Заказчик вправе отменить определение поставщика только в случае возникновения обстоятельств </w:t>
            </w:r>
            <w:hyperlink r:id="rId14" w:tooltip="consultantplus://offline/ref=6AE81C291AEDBF2645E923D219A663E49CB1CA3F7D6A857ED8EABAC9D95EB60B0F296E2D9871F565V5hBD" w:history="1">
              <w:r>
                <w:rPr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непреодолимой силы</w:t>
              </w:r>
            </w:hyperlink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в соответствии с гражданским законодательством.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13.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Форма, порядок предоставления участникам закупки разъяснений положений Извещения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67"/>
        </w:trPr>
        <w:tc>
          <w:tcPr>
            <w:gridSpan w:val="2"/>
            <w:tcW w:w="10063" w:type="dxa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Любой участник закупки, аккредитованный на электронной площадке, вправе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направить составленный в форме электронного документа или с использованием программно-аппаратных средств электронной площадки на адрес электронной площадки, на которой проводится электронный запрос котировок, запрос о даче разъяснений положений Извещения.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течение трех рабочих дней с даты с даты поступления от оператора электронной площадки запроса, Заказчик осуществляет разъяснение положений Извещения о закупке и размещает их на электронной площадке с указанием предмета запроса, но без указания участ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ника такой закупки, от которого поступил указанный запрос. При этом Заказчик вправе не осуществлять такое разъяснение в случае, если указанный запрос поступил позднее, чем за три рабочих дня до даты окончания срока подачи заявок на участие в такой закупке.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Разъяснения положений Извещения о закупке не должны изменять предмет закупки и существенные условия проекта договора.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Оператор электронной площадки обеспечивает размещение в единой информационной системе таких разъяснений и, в течение одного часа с этого момента направляет уведомление об указанных разъяснениях всем участникам закупки, подавшим заявки на участи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 в ней, уведомление об указанных разъяснениях также лицу, направившему запрос о дате разъяснений положений Извещения по адресам электронной почты, указанным этими участниками при аккредитации на электронной площадке или этим лицом при направлении запроса.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14.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Дата и время окончания срока предоставления участникам закупки разъяснений положений Извещения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614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Разъ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ясне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ния положений Извещения предоставляются по запросам, поступившим в период с даты начала срока подачи заявок на электронной площадке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по 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yellow"/>
              </w:rPr>
              <w:t xml:space="preserve">28.09.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yellow"/>
              </w:rPr>
              <w:t xml:space="preserve">202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yellow"/>
              </w:rPr>
              <w:t xml:space="preserve">6 г. до 16:00.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yellow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yellow"/>
              </w:rPr>
            </w:r>
          </w:p>
        </w:tc>
      </w:tr>
      <w:tr>
        <w:tblPrEx/>
        <w:trPr>
          <w:trHeight w:val="44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15.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Порядок и срок отзыва котировочных заявок, а также внесения изменений в такие заявки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6"/>
        </w:trPr>
        <w:tc>
          <w:tcPr>
            <w:gridSpan w:val="2"/>
            <w:tcW w:w="10063" w:type="dxa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закупки, подавший заявку на участие 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такой закупке, вправе изменить или отозвать свою заявку (как окончательно, так и с целью внесения изменений и последующего направления) до истечения срока (времени и даты) подачи заявок, направив об этом уведомление оператору электронной площадки, на кото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рой проводится электронный запрос котировок. Заявка на участие в такой закупке является измененной или отозванной, если изменение осуществлено или уведомление об отзыве заявки получено до истечения срока подачи заявок на участие в такой закупке, указанный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в Извещении.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внесения Заказчиком изменений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Извещение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оператор электронной площадки в течение одного часа с момента размещения в единой информационной системе изменений, внесенных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Извещение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направляет уведомление об указанных изменениях всем участникам закупки, подавшим заявки на участие в ней, по адресам электронной почты, указанным этими участниками при аккредитации на электронной площадке.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внесения Заказчиком изменений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Извещение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участники закупки должны самостоятельно позаботиться о том, чтобы их котировочная заявка соответствовала измененным условиям. В случае их несоответствия, такие заявки будут отклонены при рассмотрении.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Изменение заявки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 электронной площадке осуществляется только путем отзыва заявки. После отзыва заявки участник закупки имеет возможность повторно сформировать на электронной площадке и подать заявку до наступления даты и времени окончания подачи заявок, установленного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Извещении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76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16.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28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Информация о валюте, используемой для формирования цены договора и расчетов с Поставщиками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46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1418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Российский рубль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898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-5211" w:leader="none"/>
                <w:tab w:val="left" w:pos="-2801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17.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Сведения о начальной (максимальной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) цене договора (цене лота), либо формула цены, устанавливающая правила расчета сумм, подлежащих уплате заказчиком Поставщику в ходе исполнения договора, и максимальное значение цены договора, либо цена единицы товара, и максимальное значение цены договора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99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-44" w:firstLine="709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</w:rPr>
              <w:t xml:space="preserve">4 973 500 (Четыре миллиона девятьсот семьдесят три тысячи пятьсот) рублей 00 копеек.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559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-5211" w:leader="none"/>
                <w:tab w:val="left" w:pos="-2801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18.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Порядок формирования цены договора с учетом или без учета расходов на перевозку, страхование, уплату таможенных пошлин, налогов и других обязательных платежей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1007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widowControl w:val="off"/>
              <w:tabs>
                <w:tab w:val="left" w:pos="0" w:leader="none"/>
              </w:tabs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Цена Договора включает в себя: стоимость нефтепродуктов, расходы на перевозку, страхование, хранение, уплату таможенных пошлин, налогов, сборов, других обязательных платежей и других затрат Поставщика, необходимых для исполнения Договора.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</w:p>
          <w:p>
            <w:pPr>
              <w:contextualSpacing/>
              <w:ind w:firstLine="709"/>
              <w:jc w:val="both"/>
              <w:widowControl w:val="off"/>
              <w:tabs>
                <w:tab w:val="left" w:pos="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Обоснование НМЦД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представлено отдельным файлом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  <w:t xml:space="preserve">Приложении № 3 к Документации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16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-5211" w:leader="none"/>
                <w:tab w:val="left" w:pos="-2801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19.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Форма, сроки и порядок оплаты поставки товара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840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rPr>
                <w:rFonts w:ascii="Liberation Serif" w:hAnsi="Liberation Serif" w:cs="Liberation Serif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lang w:bidi="ru-RU"/>
              </w:rPr>
              <w:t xml:space="preserve">Расчет за поставленный Товар осуществляется в рублях Российской Федерации, в безналичной форме платежным поручением путем перечисления денежных средств на расчетный счет Поставщика в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размере </w:t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lang w:bidi="ru-RU"/>
              </w:rPr>
              <w:t xml:space="preserve">100</w:t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white"/>
                <w:lang w:bidi="ru-RU"/>
              </w:rPr>
              <w:t xml:space="preserve"> % оплаты по факту поставки Товара ежемесячно в течение 7 (сем</w:t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white"/>
                <w:lang w:bidi="ru-RU"/>
              </w:rPr>
              <w:t xml:space="preserve">и) рабочих дней, на основании подписанной товарной накладной и счет- фактуры / универсального передаточного документа (далее - УПД)</w:t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lang w:bidi="ru-RU"/>
              </w:rPr>
              <w:t xml:space="preserve">, направляемых по окончании календарного месяца, но не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позднее 3 числа месяца следующего за отчетным.</w:t>
            </w:r>
            <w:r>
              <w:rPr>
                <w:rFonts w:ascii="Liberation Serif" w:hAnsi="Liberation Serif" w:cs="Liberation Serif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88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highlight w:val="none"/>
              </w:rPr>
              <w:t xml:space="preserve">20.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yellow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yellow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  <w:t xml:space="preserve">Место, условия и сроки (периоды)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поставки товара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981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Поставщик обязуется поставлять (отпускать) нефтепродукты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в соответствие со Спецификацией (Прил</w:t>
            </w:r>
            <w:r>
              <w:rPr>
                <w:rFonts w:ascii="Liberation Sans" w:hAnsi="Liberation Sans" w:eastAsia="Liberation Sans" w:cs="Liberation Sans"/>
                <w:sz w:val="20"/>
                <w:szCs w:val="20"/>
                <w:highlight w:val="none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none"/>
                <w:lang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none"/>
                <w:lang w:bidi="ru-RU"/>
              </w:rPr>
              <w:t xml:space="preserve">ЯНАО, муниципальный округ Приуральский район, город Лабытнанги, мкр. Октябрьский, д. 1, </w:t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none"/>
                <w:lang w:bidi="ru-RU"/>
              </w:rPr>
              <w:t xml:space="preserve">горнолыжный комплекс «Октябрьский»</w:t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none"/>
                <w:lang w:bidi="ru-RU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none"/>
                <w:lang w:bidi="ru-RU"/>
              </w:rPr>
              <w:t xml:space="preserve">в рабочие дни с 9.00 -12.00, 14.00 – 17.00 часов местного времени (МСК +2) </w:t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none"/>
                <w:lang w:bidi="ru-RU"/>
              </w:rPr>
              <w:t xml:space="preserve">по заявке Заказчика</w:t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none"/>
                <w:lang w:bidi="ru-RU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none"/>
                <w14:ligatures w14:val="none"/>
              </w:rPr>
            </w:r>
          </w:p>
          <w:p>
            <w:pPr>
              <w:contextualSpacing/>
              <w:ind w:firstLine="709"/>
              <w:jc w:val="both"/>
              <w:tabs>
                <w:tab w:val="left" w:pos="0" w:leader="none"/>
              </w:tabs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Срок поставки товара: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  <w:lang w:bidi="ru-RU"/>
              </w:rPr>
              <w:t xml:space="preserve">с 01 ноября 2026 года по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  <w:lang w:bidi="ru-RU"/>
              </w:rPr>
              <w:t xml:space="preserve"> 31 декабря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  <w:lang w:bidi="ru-RU"/>
              </w:rPr>
              <w:t xml:space="preserve">2026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  <w:lang w:bidi="ru-RU"/>
              </w:rPr>
              <w:t xml:space="preserve"> года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  <w:lang w:bidi="ru-RU"/>
              </w:rPr>
              <w:t xml:space="preserve">включительно.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</w:p>
        </w:tc>
      </w:tr>
      <w:tr>
        <w:tblPrEx/>
        <w:trPr>
          <w:trHeight w:val="41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21.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28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 работы,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и, к результатам работы, установленные заказчиком и предусмотренные техническими регламент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71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white"/>
              </w:rPr>
              <w:t xml:space="preserve">Качество поставляемых нефтепродуктов должно </w:t>
            </w:r>
            <w:r>
              <w:rPr>
                <w:rFonts w:ascii="Liberation Serif" w:hAnsi="Liberation Serif" w:eastAsia="Liberation Serif" w:cs="Liberation Serif"/>
                <w:color w:val="000000"/>
                <w:spacing w:val="2"/>
                <w:sz w:val="20"/>
                <w:szCs w:val="20"/>
                <w:highlight w:val="white"/>
              </w:rPr>
              <w:t xml:space="preserve">соответствовать: </w:t>
            </w:r>
            <w:r>
              <w:rPr>
                <w:rFonts w:ascii="Liberation Serif" w:hAnsi="Liberation Serif" w:eastAsia="Liberation Serif" w:cs="Liberation Serif"/>
                <w:sz w:val="19"/>
                <w:szCs w:val="19"/>
                <w:highlight w:val="white"/>
              </w:rPr>
              <w:t xml:space="preserve">ГОСТ 32511-2013. Моторное топливо. Предназначено для применения в поршневых двигателях внутреннего сго</w:t>
            </w:r>
            <w:r>
              <w:rPr>
                <w:rFonts w:ascii="Liberation Serif" w:hAnsi="Liberation Serif" w:eastAsia="Liberation Serif" w:cs="Liberation Serif"/>
                <w:sz w:val="19"/>
                <w:szCs w:val="19"/>
                <w:highlight w:val="white"/>
              </w:rPr>
              <w:t xml:space="preserve">рания с принудительным впрыском топлива. Соответствует требованиям ГОСТ. Соответствует Техническому регламенту «О требованиях к автомобильному и авиационному бензину, дизельному и судовому топливу, топливу для реактивных двигателей и топочному мазуту» (Пос</w:t>
            </w:r>
            <w:r>
              <w:rPr>
                <w:rFonts w:ascii="Liberation Serif" w:hAnsi="Liberation Serif" w:eastAsia="Liberation Serif" w:cs="Liberation Serif"/>
                <w:sz w:val="19"/>
                <w:szCs w:val="19"/>
                <w:highlight w:val="white"/>
              </w:rPr>
              <w:t xml:space="preserve">тановление Правительства РФ от 27.02.2008 № 118), экологическим классам, действующим на территории Российской Федерации согласно требованиям технического регламента Таможенного союза «О требованиях к автомобильному и авиационному бензину, дизельному и судо</w:t>
            </w:r>
            <w:r>
              <w:rPr>
                <w:rFonts w:ascii="Liberation Serif" w:hAnsi="Liberation Serif" w:eastAsia="Liberation Serif" w:cs="Liberation Serif"/>
                <w:sz w:val="19"/>
                <w:szCs w:val="19"/>
                <w:highlight w:val="white"/>
              </w:rPr>
              <w:t xml:space="preserve">вому топливу, топливу для реактивных двигателей и мазуту», принятого решением Комиссии Таможенного союза от 18.10.2011г. № 826</w:t>
            </w:r>
            <w:r>
              <w:rPr>
                <w:rFonts w:ascii="Liberation Serif" w:hAnsi="Liberation Serif" w:eastAsia="Liberation Serif" w:cs="Liberation Serif"/>
                <w:sz w:val="19"/>
                <w:szCs w:val="19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sz w:val="19"/>
                <w:szCs w:val="19"/>
                <w:lang w:bidi="ru-RU"/>
              </w:rPr>
              <w:t xml:space="preserve">в холодное время года допускается топливо дизельное ЕВРО, зимнее, класса 2, экологического класса К5 по ГОСТ 32511-2013).</w:t>
            </w:r>
            <w:r>
              <w:rPr>
                <w:rFonts w:ascii="Liberation Serif" w:hAnsi="Liberation Serif" w:cs="Liberation Serif"/>
                <w:sz w:val="20"/>
                <w:szCs w:val="20"/>
                <w:shd w:val="clear" w:color="auto" w:fill="ffffff"/>
              </w:rPr>
            </w:r>
            <w:r/>
          </w:p>
        </w:tc>
      </w:tr>
      <w:tr>
        <w:tblPrEx/>
        <w:trPr>
          <w:trHeight w:val="41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22.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гарантийному сроку работы,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 (или) объ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ему предоставления гарантий их качества, к гарантийному обслуживанию товара, к расходам на эксплуатацию товара, об обязательности осуществления монтажа и наладки товара, к обучению лиц, осуществляющих использование и обслуживание товара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74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pStyle w:val="931"/>
              <w:contextualSpacing/>
              <w:ind w:firstLine="709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Срок предоставление гарантий качества - в период действия Договора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5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23.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Требование о соответствии поставляемого товара изображению товара, если при выполнении работ осуществляется поставка товара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83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right="-150" w:firstLine="744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установлено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70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24.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28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Требование о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соответствии поставляемого товара образцу или макету товара, если при выполнении работ осуществляется поставка товара. Информацию о месте, датах начала и окончания, порядке и графике осмотра участниками закупки образца или макета товара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23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right="-150" w:firstLine="744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установлено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99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25.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энергетической эффективности товаров, утвержденные Министерством экономического развития Российской Федерации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31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right="-150" w:firstLine="744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установлено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91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26.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28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lang w:eastAsia="en-US"/>
              </w:rPr>
              <w:t xml:space="preserve">Условия, запреты и ограничения допуска товаров, происходящих из иностранного государства или группы иностранных государств, работ,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lang w:eastAsia="en-US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lang w:eastAsia="en-US"/>
              </w:rPr>
              <w:t xml:space="preserve">, соответственно выполняемых, оказываемых иностранными лицами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46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П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выполняемой, оказываемой иностр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нным гражданином или иностранным юридическим лицом,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, за исключением случаев принятия Правительством Российской Федерации мер, предусмотренных пунктом 1 части 2 статьи 3.1-4 Закона № 223-ФЗ. Если иное не предусмотрено мерами, принятыми Правительством Российской Федерации в соответс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твии с положениями статьи 3.1-4 Закона № 223-ФЗ и Положения,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ходящего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м лицом.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О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снованием для установки указания запретов, ограничений закупок товаров, происходящих из иностранных государств, выполняемых работ, оказываемых услуг иностранными лицами, а также преимуществ в отношении товаров российского происхождения, а также товаров про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сходящих из стран ЕАЭС, выполняемых работ, оказываемых услуг российскими лицами, а также лицами, зарегистрированными в странах ЕАЭС, является Постановление Правительства Российской Федерации о мерах по предоставлению национального режима от 23.12.2024 № 18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75</w:t>
            </w:r>
            <w:r>
              <w:rPr>
                <w:sz w:val="20"/>
                <w:szCs w:val="20"/>
              </w:rPr>
              <w:t xml:space="preserve">: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</w:r>
          </w:p>
          <w:tbl>
            <w:tblPr>
              <w:tblStyle w:val="97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85"/>
              <w:gridCol w:w="7477"/>
            </w:tblGrid>
            <w:tr>
              <w:tblPrEx/>
              <w:trPr/>
              <w:tc>
                <w:tcPr>
                  <w:tcW w:w="2585" w:type="dxa"/>
                  <w:textDirection w:val="lrTb"/>
                  <w:noWrap w:val="false"/>
                </w:tcPr>
                <w:p>
                  <w:pPr>
                    <w:contextualSpacing/>
                    <w:ind w:left="0" w:right="0" w:firstLine="567"/>
                    <w:jc w:val="both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non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9"/>
                      <w:szCs w:val="19"/>
                      <w:highlight w:val="white"/>
                    </w:rPr>
                    <w:t xml:space="preserve">ЗАПРЕТ</w:t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white"/>
                    </w:rPr>
      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</w:t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non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none"/>
                    </w:rPr>
                  </w:r>
                </w:p>
              </w:tc>
              <w:tc>
                <w:tcPr>
                  <w:tcW w:w="7477" w:type="dxa"/>
                  <w:textDirection w:val="lrTb"/>
                  <w:noWrap w:val="false"/>
                </w:tcPr>
                <w:p>
                  <w:pPr>
                    <w:contextualSpacing/>
                    <w:ind w:left="112"/>
                    <w:jc w:val="center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sz w:val="19"/>
                      <w:szCs w:val="19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9"/>
                      <w:szCs w:val="19"/>
                      <w:highlight w:val="white"/>
                    </w:rPr>
                    <w:t xml:space="preserve">НЕ 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9"/>
                      <w:szCs w:val="19"/>
                      <w:highlight w:val="white"/>
                    </w:rPr>
                    <w:t xml:space="preserve">УСТАНОВЛЕНО</w:t>
                  </w:r>
                  <w:r>
                    <w:rPr>
                      <w:rFonts w:ascii="Liberation Serif" w:hAnsi="Liberation Serif" w:cs="Liberation Serif"/>
                      <w:sz w:val="19"/>
                      <w:szCs w:val="19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sz w:val="19"/>
                      <w:szCs w:val="19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non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white"/>
                    </w:rPr>
                    <w:t xml:space="preserve">Если поданы заявки на участие в закупке, окончательное предложение, признанные по результатам их ра</w:t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white"/>
                    </w:rPr>
                    <w:t xml:space="preserve">ссмотрения соответствующими требованиям извещения и (или) документации о конкурентной закупке и содержащие предложения о поставке товара иностранного происхождения (работ, услуг, соответственно выполняемых, оказываемых иностранными лицами), то запрещается:</w:t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non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non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before="0" w:beforeAutospacing="0" w:after="0" w:afterAutospacing="0" w:line="240" w:lineRule="auto"/>
                    <w:shd w:val="clear" w:color="ffffff" w:themeColor="background1" w:fill="ffffff" w:themeFill="background1"/>
                    <w:widowControl w:val="off"/>
                    <w:tabs>
                      <w:tab w:val="left" w:pos="-4502" w:leader="none"/>
                      <w:tab w:val="left" w:pos="-4360" w:leader="none"/>
                    </w:tabs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20"/>
                      <w:szCs w:val="20"/>
                      <w:highlight w:val="white"/>
                      <w14:ligatures w14:val="none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</w:pP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9"/>
                      <w:szCs w:val="19"/>
                      <w:highlight w:val="white"/>
                      <w:lang w:val="ru-RU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9"/>
                      <w:szCs w:val="19"/>
                      <w:highlight w:val="white"/>
                      <w:lang w:val="ru-RU"/>
                    </w:rPr>
                    <w:t xml:space="preserve">а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9"/>
                      <w:szCs w:val="19"/>
                      <w:highlight w:val="white"/>
                      <w:lang w:val="ru-RU"/>
                    </w:rPr>
                    <w:t xml:space="preserve">) заключение договора на поставку товара, происходящего из иностранного государства, если поданы заявка на участие в закупке, окончательное предложение, признанные по результатам их рассмотрения соответствующими требованиям положения о закупке, извещения о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9"/>
                      <w:szCs w:val="19"/>
                      <w:highlight w:val="white"/>
                      <w:lang w:val="ru-RU"/>
                    </w:rPr>
                    <w:t xml:space="preserve">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 и содержащие предложения о поставке товара российского происхождения;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20"/>
                      <w:szCs w:val="20"/>
                      <w:highlight w:val="white"/>
                      <w14:ligatures w14:val="none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20"/>
                      <w:szCs w:val="20"/>
                      <w:highlight w:val="white"/>
                      <w14:ligatures w14:val="non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before="0" w:beforeAutospacing="0" w:after="0" w:afterAutospacing="0" w:line="240" w:lineRule="auto"/>
                    <w:shd w:val="clear" w:color="ffffff" w:themeColor="background1" w:fill="ffffff" w:themeFill="background1"/>
                    <w:widowControl w:val="off"/>
                    <w:tabs>
                      <w:tab w:val="left" w:pos="-4502" w:leader="none"/>
                      <w:tab w:val="left" w:pos="-4360" w:leader="none"/>
                    </w:tabs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20"/>
                      <w:szCs w:val="20"/>
                      <w:highlight w:val="white"/>
                      <w14:ligatures w14:val="none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</w:pP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9"/>
                      <w:szCs w:val="19"/>
                      <w:highlight w:val="white"/>
                      <w:lang w:val="ru-RU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9"/>
                      <w:szCs w:val="19"/>
                      <w:highlight w:val="white"/>
                      <w:lang w:val="ru-RU"/>
                    </w:rPr>
                    <w:t xml:space="preserve">б) 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происхождения.</w:t>
                  </w:r>
                  <w:r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20"/>
                      <w:szCs w:val="20"/>
                      <w:highlight w:val="white"/>
                      <w14:ligatures w14:val="none"/>
                    </w:rPr>
                  </w:r>
                  <w:r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20"/>
                      <w:szCs w:val="20"/>
                      <w:highlight w:val="white"/>
                      <w14:ligatures w14:val="none"/>
                    </w:rPr>
                  </w:r>
                </w:p>
                <w:p>
                  <w:pPr>
                    <w:contextualSpacing/>
                    <w:spacing w:after="0" w:afterAutospacing="0" w:line="240" w:lineRule="auto"/>
                    <w:tabs>
                      <w:tab w:val="left" w:pos="-4502" w:leader="none"/>
                      <w:tab w:val="left" w:pos="-4360" w:leader="none"/>
                    </w:tabs>
                    <w:rPr>
                      <w:rFonts w:ascii="Liberation Serif" w:hAnsi="Liberation Serif" w:eastAsia="Liberation Serif" w:cs="Liberation Serif"/>
                      <w:b/>
                      <w:bCs/>
                      <w:color w:val="000000" w:themeColor="text1"/>
                      <w:sz w:val="20"/>
                      <w:szCs w:val="20"/>
                      <w:highlight w:val="non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color w:val="000000" w:themeColor="text1"/>
                      <w:sz w:val="20"/>
                      <w:szCs w:val="20"/>
                      <w:highlight w:val="none"/>
                    </w:rPr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color w:val="000000" w:themeColor="text1"/>
                      <w:sz w:val="20"/>
                      <w:szCs w:val="20"/>
                      <w:highlight w:val="none"/>
                    </w:rPr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color w:val="000000" w:themeColor="text1"/>
                      <w:sz w:val="20"/>
                      <w:szCs w:val="20"/>
                      <w:highlight w:val="none"/>
                    </w:rPr>
                  </w:r>
                </w:p>
              </w:tc>
            </w:tr>
            <w:tr>
              <w:tblPrEx/>
              <w:trPr/>
              <w:tc>
                <w:tcPr>
                  <w:tcW w:w="2585" w:type="dxa"/>
                  <w:textDirection w:val="lrTb"/>
                  <w:noWrap w:val="false"/>
                </w:tcPr>
                <w:p>
                  <w:pPr>
                    <w:contextualSpacing/>
                    <w:ind w:left="0" w:right="0" w:firstLine="567"/>
                    <w:jc w:val="both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sz w:val="19"/>
                      <w:szCs w:val="19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9"/>
                      <w:szCs w:val="19"/>
                      <w:highlight w:val="white"/>
                    </w:rPr>
                    <w:t xml:space="preserve">ОГРАНИЧЕНИЕ</w:t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white"/>
                    </w:rPr>
                    <w:t xml:space="preserve"> закупок товаров (в том числе поставляемых при </w:t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white"/>
                    </w:rPr>
                    <w:t xml:space="preserve">выполнении закупаемых работ, оказании закупаемых услуг), происходящих из иностранных государств</w:t>
                  </w:r>
                  <w:r>
                    <w:rPr>
                      <w:rFonts w:ascii="Liberation Serif" w:hAnsi="Liberation Serif" w:cs="Liberation Serif"/>
                      <w:sz w:val="19"/>
                      <w:szCs w:val="19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sz w:val="19"/>
                      <w:szCs w:val="19"/>
                      <w:highlight w:val="white"/>
                    </w:rPr>
                  </w:r>
                </w:p>
              </w:tc>
              <w:tc>
                <w:tcPr>
                  <w:tcW w:w="7477" w:type="dxa"/>
                  <w:textDirection w:val="lrTb"/>
                  <w:noWrap w:val="false"/>
                </w:tcPr>
                <w:p>
                  <w:pPr>
                    <w:contextualSpacing/>
                    <w:ind w:left="112"/>
                    <w:jc w:val="center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b/>
                      <w:bCs/>
                      <w:sz w:val="19"/>
                      <w:szCs w:val="19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9"/>
                      <w:szCs w:val="19"/>
                      <w:highlight w:val="none"/>
                    </w:rPr>
                    <w:t xml:space="preserve">НЕ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9"/>
                      <w:szCs w:val="19"/>
                      <w:highlight w:val="white"/>
                    </w:rPr>
                    <w:t xml:space="preserve">УСТАНОВЛЕНО</w:t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9"/>
                      <w:szCs w:val="19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9"/>
                      <w:szCs w:val="19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sz w:val="20"/>
                      <w:szCs w:val="20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white"/>
                    </w:rPr>
                    <w:t xml:space="preserve">Если поданы заявки на участие в закупке, окончательное предложение, признанные по результатам их ра</w:t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white"/>
                    </w:rPr>
                    <w:t xml:space="preserve">ссмотрения соответствующими требованиям извещения и (или) документации о конкурентной закупке и содержащие предложения о поставке товара иностранного происхождения (работ, услуг, соответственно выполняемых, оказываемых иностранными лицами), то запрещается:</w:t>
                  </w:r>
                  <w:r>
                    <w:rPr>
                      <w:rFonts w:ascii="Liberation Serif" w:hAnsi="Liberation Serif" w:eastAsia="Liberation Serif" w:cs="Liberation Serif"/>
                      <w:sz w:val="20"/>
                      <w:szCs w:val="20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20"/>
                      <w:szCs w:val="20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before="0" w:beforeAutospacing="0" w:after="0" w:afterAutospacing="0" w:line="240" w:lineRule="auto"/>
                    <w:shd w:val="clear" w:color="ffffff" w:themeColor="background1" w:fill="ffffff" w:themeFill="background1"/>
                    <w:widowControl w:val="off"/>
                    <w:tabs>
                      <w:tab w:val="left" w:pos="-4502" w:leader="none"/>
                      <w:tab w:val="left" w:pos="-4360" w:leader="none"/>
                    </w:tabs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9"/>
                      <w:szCs w:val="19"/>
                      <w:highlight w:val="white"/>
                      <w14:ligatures w14:val="none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</w:pP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9"/>
                      <w:szCs w:val="19"/>
                      <w:highlight w:val="white"/>
                      <w:lang w:val="ru-RU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9"/>
                      <w:szCs w:val="19"/>
                      <w:highlight w:val="white"/>
                      <w:lang w:val="ru-RU"/>
                    </w:rPr>
                    <w:t xml:space="preserve">а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9"/>
                      <w:szCs w:val="19"/>
                      <w:highlight w:val="white"/>
                      <w:lang w:val="ru-RU"/>
                    </w:rPr>
                    <w:t xml:space="preserve">) заключение договора на поставку товара, происходящего из иностранного государства, если поданы заявка на участие в закупке, окончательное предложение, признанные по результатам их рассмотрения соответствующими требованиям положения о закупке, извещения о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9"/>
                      <w:szCs w:val="19"/>
                      <w:highlight w:val="white"/>
                      <w:lang w:val="ru-RU"/>
                    </w:rPr>
                    <w:t xml:space="preserve">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 и содержащие предложения о поставке товара российского происхождения;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9"/>
                      <w:szCs w:val="19"/>
                      <w:highlight w:val="white"/>
                      <w14:ligatures w14:val="none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9"/>
                      <w:szCs w:val="19"/>
                      <w:highlight w:val="white"/>
                      <w14:ligatures w14:val="non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before="0" w:beforeAutospacing="0" w:after="0" w:afterAutospacing="0" w:line="240" w:lineRule="auto"/>
                    <w:shd w:val="clear" w:color="ffffff" w:themeColor="background1" w:fill="ffffff" w:themeFill="background1"/>
                    <w:widowControl w:val="off"/>
                    <w:tabs>
                      <w:tab w:val="left" w:pos="-4502" w:leader="none"/>
                      <w:tab w:val="left" w:pos="-4360" w:leader="none"/>
                    </w:tabs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9"/>
                      <w:szCs w:val="19"/>
                      <w:highlight w:val="white"/>
                      <w14:ligatures w14:val="none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</w:pP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9"/>
                      <w:szCs w:val="19"/>
                      <w:highlight w:val="white"/>
                      <w:lang w:val="ru-RU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9"/>
                      <w:szCs w:val="19"/>
                      <w:highlight w:val="white"/>
                      <w:lang w:val="ru-RU"/>
                    </w:rPr>
                    <w:t xml:space="preserve">б) 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происхождения.</w:t>
                  </w:r>
                  <w:r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9"/>
                      <w:szCs w:val="19"/>
                      <w:highlight w:val="white"/>
                      <w14:ligatures w14:val="none"/>
                    </w:rPr>
                  </w:r>
                  <w:r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9"/>
                      <w:szCs w:val="19"/>
                      <w:highlight w:val="white"/>
                      <w14:ligatures w14:val="none"/>
                    </w:rPr>
                  </w:r>
                </w:p>
              </w:tc>
            </w:tr>
            <w:tr>
              <w:tblPrEx/>
              <w:trPr/>
              <w:tc>
                <w:tcPr>
                  <w:tcW w:w="2585" w:type="dxa"/>
                  <w:textDirection w:val="lrTb"/>
                  <w:noWrap w:val="false"/>
                </w:tcPr>
                <w:p>
                  <w:pPr>
                    <w:contextualSpacing/>
                    <w:ind w:left="0" w:right="0" w:firstLine="567"/>
                    <w:jc w:val="both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sz w:val="19"/>
                      <w:szCs w:val="19"/>
                      <w:highlight w:val="yellow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9"/>
                      <w:szCs w:val="19"/>
                      <w:highlight w:val="yellow"/>
                    </w:rPr>
                    <w:t xml:space="preserve">ПРЕИМУЩЕСТВО</w:t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</w:t>
                  </w:r>
                  <w:r>
                    <w:rPr>
                      <w:rFonts w:ascii="Liberation Serif" w:hAnsi="Liberation Serif" w:cs="Liberation Serif"/>
                      <w:sz w:val="19"/>
                      <w:szCs w:val="19"/>
                      <w:highlight w:val="yellow"/>
                    </w:rPr>
                  </w:r>
                  <w:r>
                    <w:rPr>
                      <w:rFonts w:ascii="Liberation Serif" w:hAnsi="Liberation Serif" w:cs="Liberation Serif"/>
                      <w:sz w:val="19"/>
                      <w:szCs w:val="19"/>
                      <w:highlight w:val="yellow"/>
                    </w:rPr>
                  </w:r>
                </w:p>
              </w:tc>
              <w:tc>
                <w:tcPr>
                  <w:tcW w:w="7477" w:type="dxa"/>
                  <w:textDirection w:val="lrTb"/>
                  <w:noWrap w:val="false"/>
                </w:tcPr>
                <w:p>
                  <w:pPr>
                    <w:contextualSpacing/>
                    <w:ind w:left="112"/>
                    <w:jc w:val="center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b/>
                      <w:bCs/>
                      <w:sz w:val="19"/>
                      <w:szCs w:val="19"/>
                      <w:highlight w:val="yellow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9"/>
                      <w:szCs w:val="19"/>
                      <w:highlight w:val="yellow"/>
                    </w:rPr>
                    <w:t xml:space="preserve">УСТАНОВЛЕНО</w:t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9"/>
                      <w:szCs w:val="19"/>
                      <w:highlight w:val="yellow"/>
                    </w:rPr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9"/>
                      <w:szCs w:val="19"/>
                      <w:highlight w:val="yellow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b/>
                      <w:bCs/>
                      <w:sz w:val="19"/>
                      <w:szCs w:val="19"/>
                      <w:highlight w:val="yellow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sz w:val="19"/>
                      <w:szCs w:val="19"/>
                      <w:highlight w:val="yellow"/>
                    </w:rPr>
                    <w:t xml:space="preserve">Если объект закупки (предмет закупки) включает хотя бы один товар, не указанный в перечне № 1 и перечне № 2 Постановления Правительства Российско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9"/>
                      <w:szCs w:val="19"/>
                      <w:highlight w:val="yellow"/>
                    </w:rPr>
                    <w:t xml:space="preserve">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</w:t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  <w:t xml:space="preserve"> в отношении заявки, содержащей предложение о поставке товаров (в том числе поставляемых при выполнении закупаемых работ, оказании закупаемых услуг) только российского происхождения,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9"/>
                      <w:szCs w:val="19"/>
                      <w:highlight w:val="yellow"/>
                    </w:rPr>
                    <w:t xml:space="preserve">применяется преимущество при условии, что</w:t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  <w:t xml:space="preserve"> в числе заявок на участие в закупке (окончательных предложений), которые рассматриваются, оцениваются, сопоставляются,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9"/>
                      <w:szCs w:val="19"/>
                      <w:highlight w:val="yellow"/>
                    </w:rPr>
                    <w:t xml:space="preserve">имеется заявка</w:t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  <w:t xml:space="preserve"> на участие в закупке,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9"/>
                      <w:szCs w:val="19"/>
                      <w:highlight w:val="yellow"/>
                    </w:rPr>
                    <w:t xml:space="preserve">которая</w:t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  <w:t xml:space="preserve"> не отклонена и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9"/>
                      <w:szCs w:val="19"/>
                      <w:highlight w:val="yellow"/>
                    </w:rPr>
                    <w:t xml:space="preserve">содержит предложение</w:t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  <w:t xml:space="preserve"> о поставке хотя бы одного товара, происходящего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9"/>
                      <w:szCs w:val="19"/>
                      <w:highlight w:val="yellow"/>
                    </w:rPr>
                    <w:t xml:space="preserve">из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9"/>
                      <w:szCs w:val="19"/>
                      <w:highlight w:val="yellow"/>
                    </w:rPr>
                    <w:t xml:space="preserve">иностранного государства.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9"/>
                      <w:szCs w:val="19"/>
                      <w:highlight w:val="yellow"/>
                    </w:rPr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9"/>
                      <w:szCs w:val="19"/>
                      <w:highlight w:val="yellow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sz w:val="19"/>
                      <w:szCs w:val="19"/>
                      <w:highlight w:val="yellow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  <w:t xml:space="preserve">Преимущество также применяется в отношении включенных в предмет закупки товаров (работ, услуг),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9"/>
                      <w:szCs w:val="19"/>
                      <w:highlight w:val="yellow"/>
                    </w:rPr>
                    <w:t xml:space="preserve">указанных в перечне № 1</w:t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  <w:t xml:space="preserve"> и перечне № 2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9"/>
                      <w:szCs w:val="19"/>
                      <w:highlight w:val="yellow"/>
                    </w:rPr>
                    <w:t xml:space="preserve">при условии</w:t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  <w:t xml:space="preserve">, что в отношении таких товаров (работ, услуг) запреты (ограничения) могут или не применяются.</w:t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  <w:t xml:space="preserve">При рассмотрении, оценке, сопоставлении заявок на участие в закупке, окончательных предложений осуществляется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9"/>
                      <w:szCs w:val="19"/>
                      <w:highlight w:val="yellow"/>
                    </w:rPr>
                    <w:t xml:space="preserve">снижение на 15%</w:t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  <w:t xml:space="preserve"> ценового предложения, поданного участником закупки, предлагающим к поставке тов</w:t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  <w:t xml:space="preserve">ар только российского происхождения (поданного участником закупки, являющимся российским лицом), либо увеличение на 15% ценового предложения этого участника закупки в случае подачи им предложения о размере платы, подлежащей внесению за заключение договора.</w:t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  <w:t xml:space="preserve">При рассмотрении, оценке, сопоставлении заявок на участие в закупке, окончательных предложений осуществляется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9"/>
                      <w:szCs w:val="19"/>
                      <w:highlight w:val="yellow"/>
                    </w:rPr>
                    <w:t xml:space="preserve">снижение на 15%</w:t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  <w:t xml:space="preserve"> ценового предложения, участником закупки, являющимся российским лицом,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с ним договора;</w:t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b/>
                      <w:bCs/>
                      <w:sz w:val="19"/>
                      <w:szCs w:val="19"/>
                      <w:highlight w:val="yellow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  <w:t xml:space="preserve">В случае заключения договора с уч</w:t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  <w:t xml:space="preserve">астником закупки, предлагающим к поставке товар только российского происхождения (работы, услуги, соо</w:t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  <w:t xml:space="preserve">тветственно выполняемой, оказываемой российским лицом), договор заключается б</w:t>
                  </w:r>
                  <w:r>
                    <w:rPr>
                      <w:rFonts w:ascii="Liberation Serif" w:hAnsi="Liberation Serif" w:eastAsia="Liberation Serif" w:cs="Liberation Serif"/>
                      <w:sz w:val="19"/>
                      <w:szCs w:val="19"/>
                      <w:highlight w:val="yellow"/>
                    </w:rPr>
                    <w:t xml:space="preserve">ез учета снижения либо увеличения ценового предложения этого участника закупки</w:t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9"/>
                      <w:szCs w:val="19"/>
                      <w:highlight w:val="yellow"/>
                    </w:rPr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9"/>
                      <w:szCs w:val="19"/>
                      <w:highlight w:val="yellow"/>
                    </w:rPr>
                  </w:r>
                </w:p>
              </w:tc>
            </w:tr>
          </w:tbl>
          <w:p>
            <w:pPr>
              <w:contextualSpacing/>
              <w:ind w:right="-150" w:firstLine="744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highlight w:val="none"/>
              </w:rPr>
            </w:r>
          </w:p>
        </w:tc>
      </w:tr>
      <w:tr>
        <w:tblPrEx/>
        <w:trPr>
          <w:trHeight w:val="451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27.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Размер обеспечения исполнения договора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79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43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установлено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97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28.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Срок, способы и порядок предоставления обеспечения исполнения договора. Реквизиты счета для внесения обеспечения исполнения договора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31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43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установлено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0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29.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Дата начала срока подачи заявок на участие в закупке (Время МСК +2)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87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yellow"/>
              </w:rPr>
              <w:t xml:space="preserve">23.09.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yellow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yellow"/>
              </w:rPr>
              <w:t xml:space="preserve">2026 г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. с момента размещения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40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30.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left="0" w:right="68" w:firstLine="0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Дата и время окончания срока подачи заявок на участие в закупке (открытие доступа к поданным заявкам)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(Время МСК +2)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21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yellow"/>
              </w:rPr>
              <w:t xml:space="preserve">01.10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yellow"/>
              </w:rPr>
              <w:t xml:space="preserve">.2026 г.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 в 09:00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421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258" w:firstLine="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31.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 w:firstLine="42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Порядок и место открытия доступа к поданным заявкам участникам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21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right="34" w:firstLine="744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День и время, указанные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п. 30 Извещения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является окончанием срока подачи заявок, по наступлении которых оператором электронной площадки осуществляется предоставление котировочной комиссии открытие доступа к поданным</w:t>
            </w:r>
            <w:r>
              <w:rPr>
                <w:rFonts w:ascii="Liberation Serif" w:hAnsi="Liberation Serif" w:eastAsia="Liberation Serif" w:cs="Liberation Serif"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котировочным заявкам для их рассмотрения и оценки.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right="34" w:firstLine="744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Если установлено, что один 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частник закупки подал две или более заявки на участие и ранее поданные этим участником заявки не отозваны, все его заявки после открытия доступа не рассматриваются, информация о наличии таких заявок заносится в протокол открытия доступа к поданным заявкам.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8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32.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Дата и время рассмотрения предложений участников закупки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(Время МСК +2)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9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yellow"/>
              </w:rPr>
              <w:t xml:space="preserve">01.10.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yellow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yellow"/>
              </w:rPr>
              <w:t xml:space="preserve">2026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 г. в 09:00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41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33.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Дата и время подведения итогов (или оценки и сопоставление ценовых предложений)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(Время МСК +2)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2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yellow"/>
              </w:rPr>
              <w:t xml:space="preserve">01.10.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yellow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yellow"/>
              </w:rPr>
              <w:t xml:space="preserve">2026 г.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 в 10:00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41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34.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Критерии оценки и сопоставления заявок на участие в закупке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1265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Победителем в проведении запроса котировок признается участ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ник, подавший заявку на участие в запросе котировок, которая отвечает всем требованиям, установленным в извещении, Документации, и в которой указана наиболее низкая цена товаров. При предложении наиболее низкой цены товаров, работ, услуг несколькими участн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иками победителем в проведении запроса котировок признается участник закупки, заявка на участие в запросе котировок которого поступила ранее заявок на участие в запросе котировок других участников закупки, тем самым критерием является цена договора – 100%.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35.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Порядок оценки и сопоставления заявок на участие в закупке и порядок подведения итогов.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2"/>
        </w:trPr>
        <w:tc>
          <w:tcPr>
            <w:gridSpan w:val="2"/>
            <w:tcW w:w="1006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закупки при подаче котировочной заявки на участие в закупке в электронной форме на электронн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ой площадке с помощью функционала сайта заполняет открывшуюся экранную форму, а также указывает свое ценовое предложение (цену договора).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 итогам такой оценки в итоговом протоколе содержится список всех участников закупки, упорядоченных в списке по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следовательно в зависимости от цены, содержащейся в заявке: первое место (победитель) присваивается Участнику закупки, чья заявка содержит самую низкую цену. Далее указываются участники закупки по степени возрастания цен, содержащихся в заявках, поданных 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акими участниками закупки. Последним указывается участник закупки, чья заявка содержит самую высокую цену. При равенстве цен в заявках наиболее высокое место присваивается участнику закупки, заявка которого подана ранее остальных заявок с такими же ценами.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Победителем запроса котировок признается участник закупок, подавший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котировочную заявку, которая отвечает всем требованиям, установленным в извещении о проведении запроса котировок и в которой указана наиболее низкая цена договора. При предложении наиболее низкой цены договора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несколькими участниками закупок победителем запроса котировок признается участник закупок, котировочная заявка которого поступила ранее котировочных заявок других участников закупок.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56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36.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34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Порядок заключения договора. Срок со дня подписания итогового протокола запроса котировок, в течение которого победитель запроса котировок должен подписать договор. 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7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 момента опубликования на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электронной площадке итогового протокола закупки Заказчик заключает в течение срока, установленного для заключения договора, предусмотренного в Извещении и Положении о закупках, договор в электронном виде с использованием программно-аппаратных средств э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лектронной площадки, с победителем (единственным участником),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либо с иным участником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запроса котировок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с которым заключается договор,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которому в соответствии с законодательством Российской Федерации и/или Положением о закупках предлагается по результатам закупки заключить договор, который заключается на условиях, которые указаны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проекте договора, извещении, о проведении запроса котировок и заявкой участника такой закупки, с которым заключается договор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 составляется путем включения цены договора, предложенной победителем/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начальной (максимальной) цены договора или иной согласованной с единственным участником закупки цены, не превышающей начальную (максимальную) цену договора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либо иным участником электронного запроса котировок, с которым заключается договор, информации о товаре (материале) (товарном знаке и (или) конкретных показателях товара),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наименование страны происхождения,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указанных в заявке на участие в таком запросе котировок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участника и реквизитов победителя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(единственного участника)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либо иным участника закупок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с которым заключается договор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Договор по результатам конкурентной закупки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заключается с использованием программно-аппаратных средств электронной площадки и должен быть подписан электронной подписью лица, имеющего право действовать от имени соответственно участника такой конкурентной закупки, заказчика.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Договор по результатам проведения конкурентной закупки заключается с участником закупок, признанным победителем (иным участником электронного запроса котировок, с которым заключается договор) не ранее че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 через 10 дней и не позднее чем через 20 дней с даты опубликования на электронной площадке протокола, которым оканчивается процедура осуществления закупки (далее – итоговый протокол), составленного по результатам конкурентной закупки, в следующем порядке: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течение пяти дней со дня опубликования на электронной площадке итогового протокола закупки заказчик направляет победителю (иному участнику электронного запроса котировок, с которым заключается договор) заполненный проекта договора.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Победитель закупки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(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единственный участник аукциона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) в течение 5 дней со дня получения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проекта договора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подписывает и направляет заказчику. В случае наличия разногласий по проекту договора, победитель закупки (иной участник электронного запроса котировок, с которым заключается договор) в тот же срок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имеет возможность направить протокол разногласий, указывая в нем замечания к положениям проекта договора,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не соответствующим Документации, извещению о закупке и своей заявке, с указанием соответствующих положений данных документов. Протокол разногласий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направляется заказчику с использованием программно-аппаратных средств электронной площадки. Заказчик рассматривае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Договор в электронной форме считается заключенным с момента его подписания электронно-цифровых подписями победителя закупки (иного участник электронного аукциона, с которым заключается договор) и заказчиком.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Победитель запроса котировок (единственный участник), с которым заключается договор, признается уклонившимся от заключения договора в случае, если такой участник в течение 5 (пяти) дней со дня получения проекта договора не направил оператору элект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онной площадки проект договора или протокол разногласий, подписанный электронной подписью лица, имеющего право действовать от имени участника закупки, отказался от заключения договора, а также не направил обеспечение исполнения договора, или предоставил с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нарушением условий, указанных в документации (извещении) о закупке, при условии что заказчиком, было установлено требование обеспечения исполнения договора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признания участника закупки уклонившимся от заключения договора, внесенное обеспечение заявки такому участнику закупки не возвращается.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уклонения от заключения договора победителя закупки договор заключается с участником закупки, который предложил такие же, как и победитель закупки, условия исполнения договора или предложение которого содержит лучшие условия исполнения договора,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следующие после условий, предложенных победителем закупки, который признан уклонившимся от заключения договора.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Проект до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говора в случае согласия участника закупки, заявке на участие в запросе котировок которого присвоен второй номер, заключить договор составляется заказчиком путем включения в проект договора, прилагаемый к документации, условий исполнения договора, предложе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нных этим участником.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закупки, заявке на участие в запросе котировок которого присвоен второй номер, вправе подписать договор и передать его заказчику или отказаться от заключения договора. Одновременно с подписанным экземпляром договора этот участник обязан предоставить обеспе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чение исп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олнения договора. Непредоставление участником закупки, заявке на участие в запросе котировок которого присвоен второй номер, заказчику подписанного этим участником договора и обеспечения исполнения договора не считается уклонением этого участника от заключ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ения договора.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7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37.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Сведения о возможности изменить объем товаров, работ,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1355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before="0" w:after="0" w:afterAutospacing="0" w:line="240" w:lineRule="auto"/>
              <w:widowControl w:val="off"/>
              <w:tabs>
                <w:tab w:val="left" w:pos="1276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Возможность заказчика внести изменения и расторгнуть договор, предусмотрена в договоре и/или Поло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жении о закупках. Договоры, заключенные по результатам закупок, изменяются в порядке и по основаниям, которые предусмотрены положениями этих договоров, а также законодательством РФ, с учетом особенностей, установленных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Положением о закупках и Извещением.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09"/>
              <w:jc w:val="both"/>
              <w:spacing w:before="0" w:after="0" w:afterAutospacing="0" w:line="240" w:lineRule="auto"/>
              <w:widowControl w:val="off"/>
              <w:tabs>
                <w:tab w:val="left" w:pos="1276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Предусмотрена возможность Заказчика 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зменить количество (объем) товара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работ, услуг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согласно условиям договора и/или Положением о закупках.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09"/>
        </w:trPr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38.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Иная информация о закупке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0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Обоснование начальной (максимальной) цены договора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770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Начальная цена договора сформирована путем изучения рынка данного вида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по наименьшей предложенной исполнителями цене на основании коммерческих предложений.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Расчет приводится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приложении № 3 Извещения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0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Источник финансирования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35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widowControl w:val="off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  <w:t xml:space="preserve">Субсидия на выполнение муниципального задания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r>
          </w:p>
        </w:tc>
      </w:tr>
      <w:tr>
        <w:tblPrEx/>
        <w:trPr>
          <w:trHeight w:val="430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Иная информация об описании предмета закупки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0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Обоснование необходимости использования иных требований, связанных с определением соответствия поставляемого товара потребностям заказчика: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54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При описании предмета закупки, в том числе материалов, Заказчиком по возможности использовались стандартные показатели, требования, условные обозначения и терминология, касающаяся технических и качественных характеристик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 предмета закупки, установленных в соответствии с техническими регламентами, стандартами и иными требованиями, предусмотренными законодательством Российской Федерации о техническом регулировании. В случае наличия в описании предмета закупки, в том числе ма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териалов, показателей, требований, условных обозначений и терминологии, касающейся технических и качественных характеристик предмета закупки, установленных не в соответствии с техническими регламентами, стандартами и иными требованиями, предусмотренными з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аконодательством Российской Федерации о техническом регулировании, то они установлены с целью удовлетворения потребности Заказчика и в связи с применением их Производителями, а также Подрядчиками, Исполнителями при выполнении (оказании) аналогичных работ (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).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54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В случае если при описание материалов использовались ссылки на технические условия (ТУ), участник вправе использовать иное ТУ, соответствующее требованиям, установленным в техническом задании.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54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В случае если при описании материалов использовались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товарный знак (его словесное обозначение), знак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обслуживания, фирменное наименование, патенты, полезные модели, промышленные образцы, наименование модели, артикул, которые принадлежат одному производителю, то к данным материалам применяются эквиваленты, за исключением материалов отмеченных знаком «*».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</w:tbl>
    <w:p>
      <w:pPr>
        <w:contextualSpacing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  <w:sectPr>
          <w:footnotePr/>
          <w:endnotePr/>
          <w:type w:val="nextPage"/>
          <w:pgSz w:w="11906" w:h="16838" w:orient="portrait"/>
          <w:pgMar w:top="1134" w:right="567" w:bottom="850" w:left="1417" w:header="709" w:footer="709" w:gutter="0"/>
          <w:cols w:num="1" w:sep="0" w:space="708" w:equalWidth="1"/>
          <w:docGrid w:linePitch="360"/>
        </w:sect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firstLine="540"/>
        <w:jc w:val="right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19"/>
          <w:szCs w:val="19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19"/>
          <w:szCs w:val="19"/>
        </w:rPr>
        <w:t xml:space="preserve">Приложение № 1</w:t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  <w:highlight w:val="none"/>
        </w:rPr>
      </w:r>
    </w:p>
    <w:p>
      <w:pPr>
        <w:contextualSpacing/>
        <w:ind w:firstLine="709"/>
        <w:jc w:val="center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ФОРМА ЗАЯВКИ НА УЧАСТИЕ В ЗАПРОСЕ КОТИРОВОК</w:t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19"/>
          <w:szCs w:val="19"/>
        </w:rPr>
        <w:t xml:space="preserve">(ЗАПРОС КОТИРОВОК в ЭЛЕКТРОННОЙ ФОРМЕ)</w:t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На фирменном бланке.</w:t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Дата, исх. номер</w:t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9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iCs/>
          <w:color w:val="000000" w:themeColor="text1"/>
          <w:sz w:val="19"/>
          <w:szCs w:val="19"/>
        </w:rPr>
        <w:t xml:space="preserve">ЗАЯВКА НА УЧАСТИЕ В </w:t>
      </w:r>
      <w:r>
        <w:rPr>
          <w:rFonts w:ascii="Liberation Serif" w:hAnsi="Liberation Serif" w:eastAsia="Liberation Serif" w:cs="Liberation Serif"/>
          <w:b/>
          <w:iCs/>
          <w:color w:val="000000" w:themeColor="text1"/>
          <w:sz w:val="19"/>
          <w:szCs w:val="19"/>
        </w:rPr>
        <w:t xml:space="preserve">ЗАПРОСЕ КОТИРОВОК </w:t>
      </w:r>
      <w:r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r>
    </w:p>
    <w:p>
      <w:pPr>
        <w:pStyle w:val="969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Реестровый номер запроса котировок №_________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9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на право заключения договора на ________________________________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9"/>
        <w:contextualSpacing/>
        <w:ind w:firstLine="709"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0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Сведения об участнике закупок: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32"/>
        <w:numPr>
          <w:ilvl w:val="1"/>
          <w:numId w:val="1"/>
        </w:numPr>
        <w:contextualSpacing/>
        <w:ind w:left="0" w:firstLine="709"/>
        <w:keepLines w:val="0"/>
        <w:spacing w:before="0" w:after="0" w:afterAutospacing="0" w:line="240" w:lineRule="auto"/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</w:rPr>
        <w:t xml:space="preserve"> Наименование участника закупок:</w:t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Фирменное наименование участника закупок (при наличии)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Место нахождения (для юридического лица):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Организационно-правовая форма (для юридического лица):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ИНН участника закупки, учредителей, членов коллегиального исполнительного органа, лица, исполняющего функции единоличного исполнительного органа участника запроса котировок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32"/>
        <w:numPr>
          <w:ilvl w:val="1"/>
          <w:numId w:val="1"/>
        </w:numPr>
        <w:contextualSpacing/>
        <w:ind w:left="0" w:firstLine="709"/>
        <w:keepLines w:val="0"/>
        <w:spacing w:before="0" w:after="0" w:afterAutospacing="0" w:line="240" w:lineRule="auto"/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</w:rPr>
        <w:t xml:space="preserve"> Почтовый адрес (для юридического лица):</w:t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Фамилия, имя, отчество (при наличии), паспортные данные (для физического лица):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Сведения о месте жительства (для физического лица):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ИНН участника закупки (при наличии) (для физического лица):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Номер контактного телефона: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71"/>
        <w:numPr>
          <w:ilvl w:val="0"/>
          <w:numId w:val="1"/>
        </w:numPr>
        <w:contextualSpacing/>
        <w:ind w:left="0" w:firstLine="709"/>
        <w:keepLines w:val="0"/>
        <w:keepNext w:val="0"/>
        <w:spacing w:after="0" w:afterAutospacing="0" w:line="240" w:lineRule="auto"/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  <w:suppressLineNumbers w:val="0"/>
      </w:pP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</w:rPr>
        <w:t xml:space="preserve">Дополнительные сведения (по усмотрению участника закупки):</w:t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Банковские реквизиты (в том числе и для возврата обеспечения заявки)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Должность руководителя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Фамилия, имя, отчество руководителя (полностью)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Дополнительные контактные телефоны, должности, фамилии и имена лиц (полностью) уполномоченных для контактов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Адрес электронной почты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3. Мы согласны с тем, что в случае, если нами не были учтены какие - либо расценки на до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ставку товаров, которые должны быть поставлены в соответствии с предметом запроса котировок, данные товары будут в любом случае поставлены в полном соответствии с условиями контракта (договора) и в пределах предлагаемой нами стоимости контракта (договора).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3.1. Если наши предложения, изл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оженные выше, будут признаны лучшими, мы берем на себя обязательство подписать контракт (договор) и поставить товары в соответствии с требованиями извещения о запросе котировок и согласно нашим предложениям, которые мы просим включить в контракт (договор).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0"/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3.2. Настоящей заявкой декларируем, что: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0"/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в отношении нас не проводится процедура ликвидации, отсутствует решение арбитражного суда о признании несостоятельным (банкротом) и об открытии конкурсного производства;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0"/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деятельность в отношении нас не приостановлена в порядке, предусмотрено Кодексом об административных правонарушениях на день подачи заявки на закупку;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0"/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bCs/>
          <w:i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отсутствует у участника закупки задолженности по начисленным налогам, сборам и иным обязательным платежам в бюджеты любого уровня или госуда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закупок по данным бухгалтерской отчетности за последний завершенный отчетный период. Участник закупок считает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ся соответствующим установленному требованию в случае,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принято;</w:t>
      </w:r>
      <w:r>
        <w:rPr>
          <w:rFonts w:ascii="Liberation Serif" w:hAnsi="Liberation Serif" w:cs="Liberation Serif"/>
          <w:bCs/>
          <w:i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iCs/>
          <w:color w:val="000000" w:themeColor="text1"/>
          <w:sz w:val="19"/>
          <w:szCs w:val="19"/>
        </w:rPr>
      </w:r>
    </w:p>
    <w:p>
      <w:pPr>
        <w:pStyle w:val="960"/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отсутствует у физического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 лица - участника процедуры закупки либо у руководителя, членов коллегиального исполнительного органа, главного бухгалтера юридического лица - участника процедуры закупки судимости за преступления, связанные с их профессиональной деятельностью или предоста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влением заведомо ложных или недостоверных сведений,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.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отсутствие у юридического лица, которое в течение двух лет до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lang w:val="en-US"/>
        </w:rPr>
        <w:t xml:space="preserve"> 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момента подачи заявки на участие в закупке привлечения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отсутствие сведений в реестрах недобросовестных поставщиков, предусмотренных Законом № 223-ФЗ,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lang w:eastAsia="en-US"/>
        </w:rPr>
        <w:t xml:space="preserve">Федеральным законом от 05.04.2013 № 44-ФЗ «О контрактной системе в сфере закупок товаров, работ, услуг для обеспечения государственных и муниципальных нужд»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(далее - Закон № 44-ФЗ)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lang w:eastAsia="en-US"/>
        </w:rPr>
        <w:t xml:space="preserve">.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center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Предложение о количественных и качественных характеристиках</w:t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tbl>
      <w:tblPr>
        <w:tblW w:w="8527" w:type="dxa"/>
        <w:jc w:val="center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609"/>
        <w:gridCol w:w="2449"/>
        <w:gridCol w:w="3642"/>
        <w:gridCol w:w="1218"/>
        <w:gridCol w:w="609"/>
      </w:tblGrid>
      <w:tr>
        <w:tblPrEx/>
        <w:trPr>
          <w:jc w:val="center"/>
          <w:trHeight w:val="96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№ п/п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Наименование работ, услуг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4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19"/>
                <w:szCs w:val="19"/>
              </w:rPr>
              <w:t xml:space="preserve">Функциональные и качественные характеристики работ, услуг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Единица измерения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Кол-во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1.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42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8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2.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42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8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…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42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8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</w:tbl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Участник закупки (уполномоченный представитель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) __________________ (Ф.И.О.)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left="5663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М.П.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left="5663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left="5663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ФОРМА ПРЕДЛОЖЕНИЕ О ЦЕНЕ ДОГОВОРА</w:t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На фирменном бланке.</w:t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Дата, исх. номер</w:t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9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iCs/>
          <w:color w:val="000000" w:themeColor="text1"/>
          <w:sz w:val="19"/>
          <w:szCs w:val="19"/>
        </w:rPr>
        <w:t xml:space="preserve">ПРЕДЛОЖЕНИЕ О ЦЕНЕ ДОГОВОРА</w:t>
      </w:r>
      <w:r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r>
    </w:p>
    <w:p>
      <w:pPr>
        <w:pStyle w:val="969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Реестровый номер запроса котировок №_________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9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на право заключения договора на ________________________________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Мы, </w:t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, согласны исполнить условия договора, указанные в извещении о проведении запроса котировок в электронной форме № ______, в том числе о поставке новых товаров, месте доставки поставляемых товаров, о сроке поставок товаров, </w:t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о сроке и условиях оплаты поставок товаров, о гарантийных сроках, а также с иными условиями и требованиями включенных в проект договора по цене товара __________ руб. ______ коп. (________________________________________________________________)</w:t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left="707" w:firstLine="709"/>
        <w:jc w:val="both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(цена товара прописью)</w:t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Предложение о цене с указанием количественных и качественных характеристик</w:t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20"/>
        <w:gridCol w:w="2493"/>
        <w:gridCol w:w="1714"/>
        <w:gridCol w:w="1239"/>
        <w:gridCol w:w="1445"/>
        <w:gridCol w:w="1720"/>
      </w:tblGrid>
      <w:tr>
        <w:tblPrEx/>
        <w:trPr>
          <w:jc w:val="center"/>
          <w:trHeight w:val="712"/>
        </w:trPr>
        <w:tc>
          <w:tcPr>
            <w:tcW w:w="6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№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2493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Наименование работ, услуг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14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Ед. изм.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239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Кол-во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445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Цена за ед. изм.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Общая стоимость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**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21"/>
        </w:trPr>
        <w:tc>
          <w:tcPr>
            <w:tcW w:w="6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1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2493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14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239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445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37"/>
        </w:trPr>
        <w:tc>
          <w:tcPr>
            <w:tcW w:w="6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2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2493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14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239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445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37"/>
        </w:trPr>
        <w:tc>
          <w:tcPr>
            <w:tcW w:w="6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3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2493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14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239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445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</w:tbl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  <w:highlight w:val="yellow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В цену Договора включены все расходы Исполнителя, связанные с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исполнением обяз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а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тельств по Договору, в том числе: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транспортные и командировочные расходы на проезд специал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и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стов, связанные с оказанием услуг по адресу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З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аказчика, расходы на использование собственного оборуд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о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вания, инструментов, расходного материала и другие необходимые расходы, в том числе расходы на оформление необходимой документации, предоставляемой при оказании услуг, страхование, уплату там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о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женных пошлин, налогов, сборов и других обязательных платежей, установленных действующим закон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о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да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тельством Российской Федерации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.</w:t>
      </w:r>
      <w:r>
        <w:rPr>
          <w:rFonts w:ascii="Liberation Serif" w:hAnsi="Liberation Serif" w:cs="Liberation Serif"/>
          <w:color w:val="000000" w:themeColor="text1"/>
          <w:sz w:val="19"/>
          <w:szCs w:val="19"/>
          <w:highlight w:val="yellow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  <w:highlight w:val="yellow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  <w:highlight w:val="yellow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highlight w:val="yellow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  <w:highlight w:val="yellow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  <w:highlight w:val="yellow"/>
        </w:rPr>
      </w:r>
    </w:p>
    <w:p>
      <w:pPr>
        <w:contextualSpacing/>
        <w:jc w:val="both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** - ** В случае, если налогоплательщик признается плательщиком налога </w:t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на добавленную стоимость, то в данном столбце указывается соответствующая сумма НДС. В случае, если налогоплательщик освобожден от исполнения обязанностей, связанных с исчислением и уплатой НДС или применяет специальные налоговые режимы в соответствии с На</w:t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логовым кодексом РФ, либо в случаях, установленных Налоговым кодексом РФ операции не подлежат налогообложению (освобождаются от налогообложения) или в иных случаях, то пишется надпись «Без налога (НДС)» или цифра «0» с указанием соответствующего основания.</w:t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Участник закупки (уполномоченный представитель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) __________________ (Ф.И.О.)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jc w:val="both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М.П.</w:t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sectPr>
          <w:footnotePr/>
          <w:endnotePr/>
          <w:type w:val="nextPage"/>
          <w:pgSz w:w="11906" w:h="16838" w:orient="portrait"/>
          <w:pgMar w:top="1134" w:right="567" w:bottom="850" w:left="1417" w:header="709" w:footer="709" w:gutter="0"/>
          <w:cols w:num="1" w:sep="0" w:space="708" w:equalWidth="1"/>
          <w:docGrid w:linePitch="360"/>
        </w:sect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Приложение №2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pStyle w:val="1074"/>
        <w:contextualSpacing/>
        <w:jc w:val="center"/>
        <w:spacing w:after="0" w:afterAutospacing="0" w:line="240" w:lineRule="auto"/>
        <w:tabs>
          <w:tab w:val="clear" w:pos="0" w:leader="none"/>
          <w:tab w:val="clear" w:pos="959" w:leader="none"/>
          <w:tab w:val="left" w:pos="1530" w:leader="none"/>
          <w:tab w:val="clear" w:pos="1918" w:leader="none"/>
          <w:tab w:val="clear" w:pos="2877" w:leader="none"/>
          <w:tab w:val="clear" w:pos="3836" w:leader="none"/>
          <w:tab w:val="clear" w:pos="4795" w:leader="none"/>
          <w:tab w:val="clear" w:pos="5754" w:leader="none"/>
          <w:tab w:val="clear" w:pos="6713" w:leader="none"/>
          <w:tab w:val="clear" w:pos="7672" w:leader="none"/>
          <w:tab w:val="clear" w:pos="8631" w:leader="none"/>
          <w:tab w:val="clear" w:pos="9590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ТЕХНИЧЕСКОЕ ЗАДАНИЕ</w:t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pStyle w:val="1074"/>
        <w:contextualSpacing/>
        <w:spacing w:after="0" w:afterAutospacing="0" w:line="240" w:lineRule="auto"/>
        <w:tabs>
          <w:tab w:val="clear" w:pos="0" w:leader="none"/>
          <w:tab w:val="clear" w:pos="959" w:leader="none"/>
          <w:tab w:val="left" w:pos="1530" w:leader="none"/>
          <w:tab w:val="clear" w:pos="1918" w:leader="none"/>
          <w:tab w:val="clear" w:pos="2877" w:leader="none"/>
          <w:tab w:val="clear" w:pos="3836" w:leader="none"/>
          <w:tab w:val="clear" w:pos="4795" w:leader="none"/>
          <w:tab w:val="clear" w:pos="5754" w:leader="none"/>
          <w:tab w:val="clear" w:pos="6713" w:leader="none"/>
          <w:tab w:val="clear" w:pos="7672" w:leader="none"/>
          <w:tab w:val="clear" w:pos="8631" w:leader="none"/>
          <w:tab w:val="clear" w:pos="9590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firstLine="709"/>
        <w:jc w:val="both"/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1. 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заказчиком:</w:t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</w:p>
    <w:p>
      <w:pPr>
        <w:contextualSpacing/>
        <w:ind w:right="-142"/>
        <w:jc w:val="center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tbl>
      <w:tblPr>
        <w:tblW w:w="10205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09"/>
        <w:gridCol w:w="5245"/>
        <w:gridCol w:w="850"/>
        <w:gridCol w:w="992"/>
      </w:tblGrid>
      <w:tr>
        <w:tblPrEx/>
        <w:trPr>
          <w:trHeight w:val="584"/>
        </w:trPr>
        <w:tc>
          <w:tcPr>
            <w:tcW w:w="709" w:type="dxa"/>
            <w:vAlign w:val="center"/>
            <w:textDirection w:val="lrTb"/>
            <w:noWrap/>
          </w:tcPr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№</w:t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</w:p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п/п</w:t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</w:p>
        </w:tc>
        <w:tc>
          <w:tcPr>
            <w:tcW w:w="2409" w:type="dxa"/>
            <w:vAlign w:val="center"/>
            <w:textDirection w:val="lrTb"/>
            <w:noWrap/>
          </w:tcPr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Наименование товара</w:t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</w:p>
        </w:tc>
        <w:tc>
          <w:tcPr>
            <w:tcW w:w="5244" w:type="dxa"/>
            <w:vAlign w:val="center"/>
            <w:textDirection w:val="lrTb"/>
            <w:noWrap/>
          </w:tcPr>
          <w:p>
            <w:pPr>
              <w:pStyle w:val="1041"/>
              <w:ind w:firstLine="0"/>
              <w:spacing w:after="0"/>
              <w:shd w:val="clear" w:color="auto" w:fill="auto"/>
              <w:rPr>
                <w:rFonts w:ascii="Liberation Serif" w:hAnsi="Liberation Serif" w:cs="Liberation Serif"/>
                <w:sz w:val="22"/>
                <w:szCs w:val="22"/>
                <w:vertAlign w:val="subscript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lang w:bidi="ru-RU"/>
              </w:rPr>
              <w:t xml:space="preserve">Физико-химические и э</w:t>
            </w:r>
            <w:r>
              <w:rPr>
                <w:rFonts w:ascii="Liberation Serif" w:hAnsi="Liberation Serif" w:eastAsia="Liberation Serif" w:cs="Liberation Serif"/>
                <w:b/>
                <w:bCs/>
                <w:lang w:bidi="ru-RU"/>
              </w:rPr>
              <w:t xml:space="preserve">ксплуатационные показатели</w:t>
            </w:r>
            <w:r>
              <w:rPr>
                <w:rFonts w:ascii="Liberation Serif" w:hAnsi="Liberation Serif" w:cs="Liberation Serif"/>
                <w:sz w:val="22"/>
                <w:szCs w:val="22"/>
                <w:vertAlign w:val="subscript"/>
              </w:rPr>
            </w:r>
            <w:r>
              <w:rPr>
                <w:rFonts w:ascii="Liberation Serif" w:hAnsi="Liberation Serif" w:cs="Liberation Serif"/>
                <w:sz w:val="22"/>
                <w:szCs w:val="22"/>
                <w:vertAlign w:val="subscript"/>
              </w:rPr>
            </w:r>
          </w:p>
        </w:tc>
        <w:tc>
          <w:tcPr>
            <w:tcW w:w="850" w:type="dxa"/>
            <w:vAlign w:val="center"/>
            <w:textDirection w:val="lrTb"/>
            <w:noWrap/>
          </w:tcPr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Ед. изм.</w:t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</w:p>
        </w:tc>
        <w:tc>
          <w:tcPr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Кол-во</w:t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</w:p>
        </w:tc>
      </w:tr>
      <w:tr>
        <w:tblPrEx/>
        <w:trPr>
          <w:trHeight w:val="2807"/>
        </w:trPr>
        <w:tc>
          <w:tcPr>
            <w:tcBorders>
              <w:top w:val="single" w:color="000000" w:sz="4" w:space="0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1.</w:t>
            </w:r>
            <w:r>
              <w:rPr>
                <w:rFonts w:ascii="Liberation Serif" w:hAnsi="Liberation Serif" w:cs="Liberation Serif"/>
                <w:b/>
                <w:sz w:val="18"/>
                <w:szCs w:val="18"/>
              </w:rPr>
            </w:r>
            <w:r>
              <w:rPr>
                <w:rFonts w:ascii="Liberation Serif" w:hAnsi="Liberation Serif" w:cs="Liberation Serif"/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</w:tcBorders>
            <w:tcW w:w="2409" w:type="dxa"/>
            <w:vAlign w:val="center"/>
            <w:textDirection w:val="lrTb"/>
            <w:noWrap/>
          </w:tcPr>
          <w:p>
            <w:pPr>
              <w:pStyle w:val="956"/>
              <w:contextualSpacing/>
              <w:ind w:right="-1"/>
              <w:jc w:val="center"/>
              <w:spacing w:line="0" w:lineRule="atLeast"/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Дизельное топливо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</w:r>
          </w:p>
        </w:tc>
        <w:tc>
          <w:tcPr>
            <w:tcW w:w="5244" w:type="dxa"/>
            <w:vAlign w:val="center"/>
            <w:vMerge w:val="restart"/>
            <w:textDirection w:val="lrTb"/>
            <w:noWrap/>
          </w:tcPr>
          <w:p>
            <w:pPr>
              <w:pStyle w:val="1041"/>
              <w:ind w:firstLine="0"/>
              <w:jc w:val="left"/>
              <w:spacing w:after="0" w:line="240" w:lineRule="auto"/>
              <w:shd w:val="clear" w:color="auto" w:fill="auto"/>
              <w:tabs>
                <w:tab w:val="left" w:pos="1498" w:leader="none"/>
                <w:tab w:val="left" w:pos="3658" w:leader="none"/>
              </w:tabs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lang w:bidi="ru-RU"/>
              </w:rPr>
              <w:t xml:space="preserve">Цетановое</w:t>
            </w:r>
            <w:r>
              <w:rPr>
                <w:rFonts w:ascii="Liberation Serif" w:hAnsi="Liberation Serif" w:eastAsia="Liberation Serif" w:cs="Liberation Serif"/>
                <w:lang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lang w:bidi="ru-RU"/>
              </w:rPr>
              <w:t xml:space="preserve">число :</w:t>
            </w:r>
            <w:r>
              <w:rPr>
                <w:rFonts w:ascii="Liberation Serif" w:hAnsi="Liberation Serif" w:eastAsia="Liberation Serif" w:cs="Liberation Serif"/>
                <w:lang w:bidi="ru-RU"/>
              </w:rPr>
              <w:t xml:space="preserve"> не менее 47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  <w:p>
            <w:pPr>
              <w:pStyle w:val="1041"/>
              <w:ind w:firstLine="0"/>
              <w:jc w:val="left"/>
              <w:spacing w:after="0" w:line="240" w:lineRule="auto"/>
              <w:shd w:val="clear" w:color="auto" w:fill="auto"/>
              <w:tabs>
                <w:tab w:val="left" w:pos="1498" w:leader="none"/>
                <w:tab w:val="left" w:pos="3658" w:leader="none"/>
              </w:tabs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lang w:bidi="ru-RU"/>
              </w:rPr>
              <w:t xml:space="preserve">Экологический класс: не ниже К5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  <w:p>
            <w:pPr>
              <w:pStyle w:val="1041"/>
              <w:ind w:firstLine="0"/>
              <w:jc w:val="left"/>
              <w:spacing w:after="0" w:line="240" w:lineRule="auto"/>
              <w:shd w:val="clear" w:color="auto" w:fill="auto"/>
              <w:tabs>
                <w:tab w:val="left" w:pos="1498" w:leader="none"/>
                <w:tab w:val="left" w:pos="3658" w:leader="none"/>
              </w:tabs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lang w:bidi="ru-RU"/>
              </w:rPr>
              <w:t xml:space="preserve">Тип топлива: зимнее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  <w:p>
            <w:pPr>
              <w:pStyle w:val="1041"/>
              <w:ind w:firstLine="0"/>
              <w:jc w:val="left"/>
              <w:spacing w:after="0" w:line="240" w:lineRule="auto"/>
              <w:shd w:val="clear" w:color="auto" w:fill="auto"/>
              <w:tabs>
                <w:tab w:val="left" w:pos="1498" w:leader="none"/>
                <w:tab w:val="left" w:pos="3658" w:leader="none"/>
              </w:tabs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Сорт / класс топлива: не ниже 2</w:t>
            </w:r>
            <w:r>
              <w:rPr>
                <w:rFonts w:ascii="Liberation Serif" w:hAnsi="Liberation Serif" w:cs="Liberation Serif"/>
              </w:rPr>
            </w:r>
            <w:r>
              <w:rPr>
                <w:rFonts w:ascii="Liberation Serif" w:hAnsi="Liberation Serif" w:cs="Liberation Serif"/>
              </w:rPr>
            </w:r>
          </w:p>
          <w:p>
            <w:pPr>
              <w:pStyle w:val="1041"/>
              <w:ind w:firstLine="0"/>
              <w:jc w:val="left"/>
              <w:spacing w:after="0" w:line="240" w:lineRule="auto"/>
              <w:shd w:val="clear" w:color="auto" w:fill="auto"/>
              <w:tabs>
                <w:tab w:val="left" w:pos="1498" w:leader="none"/>
                <w:tab w:val="left" w:pos="3658" w:leader="none"/>
              </w:tabs>
            </w:pPr>
            <w:r>
              <w:rPr>
                <w:rFonts w:ascii="Liberation Serif" w:hAnsi="Liberation Serif" w:eastAsia="Liberation Serif" w:cs="Liberation Serif"/>
                <w:lang w:bidi="ru-RU"/>
              </w:rPr>
              <w:t xml:space="preserve">Соответствие </w:t>
            </w:r>
            <w:r>
              <w:rPr>
                <w:rFonts w:ascii="Liberation Serif" w:hAnsi="Liberation Serif" w:eastAsia="Liberation Serif" w:cs="Liberation Serif"/>
                <w:lang w:bidi="ru-RU"/>
              </w:rPr>
              <w:t xml:space="preserve">ГОСТ Р 55475-2013. Топливо дизельное зимнее и арктическое </w:t>
            </w:r>
            <w:r>
              <w:rPr>
                <w:rFonts w:ascii="Liberation Serif" w:hAnsi="Liberation Serif" w:eastAsia="Liberation Serif" w:cs="Liberation Serif"/>
                <w:lang w:bidi="ru-RU"/>
              </w:rPr>
              <w:t xml:space="preserve">депарафинированное</w:t>
            </w:r>
            <w:r>
              <w:rPr>
                <w:rFonts w:ascii="Liberation Serif" w:hAnsi="Liberation Serif" w:eastAsia="Liberation Serif" w:cs="Liberation Serif"/>
                <w:lang w:bidi="ru-RU"/>
              </w:rPr>
              <w:t xml:space="preserve">; ГОСТ 32511-2013 (EN 590:2009). Межгосударственный стандарт. Топливо дизельное ЕВРО. Технические условия;</w:t>
            </w:r>
            <w:r/>
          </w:p>
          <w:p>
            <w:pPr>
              <w:pStyle w:val="1041"/>
              <w:ind w:firstLine="0"/>
              <w:jc w:val="left"/>
              <w:spacing w:after="0" w:line="240" w:lineRule="auto"/>
              <w:shd w:val="clear" w:color="auto" w:fill="auto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lang w:bidi="ru-RU"/>
              </w:rPr>
              <w:t xml:space="preserve">Соответствие Техническому регламенту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850" w:type="dxa"/>
            <w:vAlign w:val="center"/>
            <w:textDirection w:val="lrTb"/>
            <w:noWrap/>
          </w:tcPr>
          <w:p>
            <w:pPr>
              <w:jc w:val="center"/>
              <w:rPr>
                <w:rFonts w:ascii="Liberation Serif" w:hAnsi="Liberation Serif" w:cs="Liberation Serif"/>
                <w:b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тонна</w:t>
            </w:r>
            <w:r>
              <w:rPr>
                <w:rFonts w:ascii="Liberation Serif" w:hAnsi="Liberation Serif" w:cs="Liberation Serif"/>
                <w:b/>
                <w:sz w:val="18"/>
                <w:szCs w:val="18"/>
              </w:rPr>
            </w:r>
            <w:r>
              <w:rPr>
                <w:rFonts w:ascii="Liberation Serif" w:hAnsi="Liberation Serif" w:cs="Liberation Serif"/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992" w:type="dxa"/>
            <w:vAlign w:val="center"/>
            <w:textDirection w:val="lrTb"/>
            <w:noWrap/>
          </w:tcPr>
          <w:p>
            <w:pPr>
              <w:jc w:val="center"/>
              <w:rPr>
                <w:rFonts w:ascii="Liberation Serif" w:hAnsi="Liberation Serif" w:cs="Liberation Serif"/>
                <w:sz w:val="19"/>
                <w:szCs w:val="19"/>
                <w:highlight w:val="none"/>
              </w:rPr>
            </w:pPr>
            <w:r>
              <w:rPr>
                <w:rFonts w:ascii="Liberation Serif" w:hAnsi="Liberation Serif" w:cs="Liberation Serif"/>
                <w:sz w:val="19"/>
                <w:szCs w:val="19"/>
                <w:highlight w:val="none"/>
              </w:rPr>
              <w:t xml:space="preserve">29</w:t>
            </w:r>
            <w:r>
              <w:rPr>
                <w:rFonts w:ascii="Liberation Serif" w:hAnsi="Liberation Serif" w:cs="Liberation Serif"/>
                <w:sz w:val="19"/>
                <w:szCs w:val="19"/>
                <w:highlight w:val="none"/>
              </w:rPr>
            </w:r>
            <w:r>
              <w:rPr>
                <w:rFonts w:ascii="Liberation Serif" w:hAnsi="Liberation Serif" w:cs="Liberation Serif"/>
                <w:sz w:val="19"/>
                <w:szCs w:val="19"/>
                <w:highlight w:val="none"/>
              </w:rPr>
            </w:r>
          </w:p>
        </w:tc>
      </w:tr>
    </w:tbl>
    <w:p>
      <w:pPr>
        <w:contextualSpacing/>
        <w:ind w:left="0" w:right="0" w:firstLine="709"/>
        <w:jc w:val="both"/>
        <w:spacing w:line="240" w:lineRule="auto"/>
        <w:tabs>
          <w:tab w:val="left" w:pos="4708" w:leader="none"/>
        </w:tabs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tabs>
          <w:tab w:val="left" w:pos="4708" w:leader="none"/>
        </w:tabs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tabs>
          <w:tab w:val="left" w:pos="4708" w:leader="none"/>
        </w:tabs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tabs>
          <w:tab w:val="left" w:pos="4708" w:leader="none"/>
        </w:tabs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tabs>
          <w:tab w:val="left" w:pos="4708" w:leader="none"/>
        </w:tabs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  <w:sectPr>
          <w:footnotePr/>
          <w:endnotePr/>
          <w:type w:val="nextPage"/>
          <w:pgSz w:w="11906" w:h="16838" w:orient="portrait"/>
          <w:pgMar w:top="1134" w:right="567" w:bottom="850" w:left="1417" w:header="709" w:footer="709" w:gutter="0"/>
          <w:cols w:num="1" w:sep="0" w:space="708" w:equalWidth="1"/>
          <w:docGrid w:linePitch="360"/>
        </w:sectPr>
        <w:outlineLvl w:val="0"/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tbl>
      <w:tblPr>
        <w:tblStyle w:val="977"/>
        <w:tblW w:w="0" w:type="auto"/>
        <w:tblInd w:w="284" w:type="dxa"/>
        <w:tblLayout w:type="fixed"/>
        <w:tblLook w:val="04A0" w:firstRow="1" w:lastRow="0" w:firstColumn="1" w:lastColumn="0" w:noHBand="0" w:noVBand="1"/>
      </w:tblPr>
      <w:tblGrid>
        <w:gridCol w:w="709"/>
        <w:gridCol w:w="3118"/>
        <w:gridCol w:w="1205"/>
        <w:gridCol w:w="913"/>
        <w:gridCol w:w="981"/>
        <w:gridCol w:w="1379"/>
        <w:gridCol w:w="1633"/>
        <w:gridCol w:w="1316"/>
        <w:gridCol w:w="1414"/>
        <w:gridCol w:w="1448"/>
        <w:gridCol w:w="1448"/>
      </w:tblGrid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7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9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ПРИЛОЖЕНИЕ №3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7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1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95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ОБОСНОВАНИЕ НАЧАЛЬНОЙ МАКСИМАЛЬНОЙ ЦЕНЫ ДОГОВОРА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</w:tr>
    </w:tbl>
    <w:p>
      <w:pPr>
        <w:contextualSpacing/>
        <w:ind w:left="0" w:right="0" w:firstLine="567"/>
        <w:jc w:val="left"/>
        <w:spacing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567"/>
        <w:jc w:val="left"/>
        <w:spacing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tbl>
      <w:tblPr>
        <w:tblStyle w:val="977"/>
        <w:tblW w:w="0" w:type="auto"/>
        <w:tblInd w:w="433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276"/>
        <w:gridCol w:w="992"/>
        <w:gridCol w:w="786"/>
        <w:gridCol w:w="1508"/>
        <w:gridCol w:w="1326"/>
        <w:gridCol w:w="1134"/>
        <w:gridCol w:w="1766"/>
        <w:gridCol w:w="1984"/>
        <w:gridCol w:w="2268"/>
      </w:tblGrid>
      <w:tr>
        <w:tblPrEx/>
        <w:trPr>
          <w:trHeight w:val="47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  <w:t xml:space="preserve">№ п/п</w:t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  <w:t xml:space="preserve">Наименование услуги</w:t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  <w:t xml:space="preserve">ОКПД 2</w:t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  <w:t xml:space="preserve">Ед. изм.</w:t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  <w:t xml:space="preserve">Кол-во</w:t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3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  <w:t xml:space="preserve">ООО «ПЕТРОЛ ПРО»</w:t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  <w:t xml:space="preserve">ООО «Ямал-Дизель»</w:t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6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  <w:t xml:space="preserve">ООО «Газпромнефть-Региональные продажи»</w:t>
            </w:r>
            <w:r>
              <w:rPr>
                <w:rFonts w:ascii="Liberation Serif" w:hAnsi="Liberation Serif" w:cs="Liberation Serif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Liberation Serif" w:hAnsi="Liberation Serif" w:cs="Liberation Serif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  <w:t xml:space="preserve">ООО «Лукойл-Уралнефтьпродукт»</w:t>
            </w:r>
            <w:r>
              <w:rPr>
                <w:rFonts w:ascii="Liberation Serif" w:hAnsi="Liberation Serif" w:cs="Liberation Serif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Liberation Serif" w:hAnsi="Liberation Serif" w:cs="Liberation Serif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2268" w:leader="none"/>
                <w:tab w:val="left" w:pos="2409" w:leader="none"/>
              </w:tabs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  <w:t xml:space="preserve">ПАО «НК «Роснефть»-Ямалнефтепродукт»</w:t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</w:p>
        </w:tc>
      </w:tr>
      <w:tr>
        <w:tblPrEx/>
        <w:trPr>
          <w:trHeight w:val="94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  <w:t xml:space="preserve">Цена за ед. изм.</w:t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  <w:t xml:space="preserve">Сумма</w:t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  <w:highlight w:val="green"/>
              </w:rPr>
            </w:pPr>
            <w:r>
              <w:rPr>
                <w:rFonts w:ascii="Liberation Serif" w:hAnsi="Liberation Serif" w:eastAsia="Liberation Serif" w:cs="Liberation Serif"/>
                <w:sz w:val="18"/>
                <w:szCs w:val="18"/>
                <w:highlight w:val="none"/>
              </w:rPr>
              <w:t xml:space="preserve">ОТКАЗ</w:t>
            </w:r>
            <w:r>
              <w:rPr>
                <w:rFonts w:ascii="Liberation Serif" w:hAnsi="Liberation Serif" w:cs="Liberation Serif"/>
                <w:sz w:val="18"/>
                <w:szCs w:val="18"/>
                <w:highlight w:val="green"/>
              </w:rPr>
            </w:r>
            <w:r>
              <w:rPr>
                <w:rFonts w:ascii="Liberation Serif" w:hAnsi="Liberation Serif" w:cs="Liberation Serif"/>
                <w:sz w:val="18"/>
                <w:szCs w:val="18"/>
                <w:highlight w:val="green"/>
              </w:rPr>
            </w:r>
          </w:p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  <w:highlight w:val="green"/>
              </w:rPr>
            </w:pPr>
            <w:r>
              <w:rPr>
                <w:rFonts w:ascii="Liberation Serif" w:hAnsi="Liberation Serif" w:eastAsia="Liberation Serif" w:cs="Liberation Serif"/>
                <w:sz w:val="18"/>
                <w:szCs w:val="18"/>
                <w:highlight w:val="green"/>
              </w:rPr>
            </w:r>
            <w:r>
              <w:rPr>
                <w:rFonts w:ascii="Liberation Serif" w:hAnsi="Liberation Serif" w:cs="Liberation Serif"/>
                <w:sz w:val="18"/>
                <w:szCs w:val="18"/>
                <w:highlight w:val="green"/>
              </w:rPr>
            </w:r>
            <w:r>
              <w:rPr>
                <w:rFonts w:ascii="Liberation Serif" w:hAnsi="Liberation Serif" w:cs="Liberation Serif"/>
                <w:sz w:val="18"/>
                <w:szCs w:val="18"/>
                <w:highlight w:val="gree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6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  <w:t xml:space="preserve">Запрос от 18.08.2026 № 89-939/05601-08-02/99</w:t>
            </w:r>
            <w:r>
              <w:rPr>
                <w:rFonts w:ascii="Liberation Serif" w:hAnsi="Liberation Serif" w:cs="Liberation Serif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eastAsia="Liberation Serif" w:cs="Liberation Serif"/>
                <w:sz w:val="18"/>
                <w:szCs w:val="18"/>
              </w:rPr>
              <w:t xml:space="preserve">Запрос от 18.08.2026 № 89-939/05691-08-02/99</w:t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eastAsia="Liberation Serif" w:cs="Liberation Serif"/>
                <w:sz w:val="18"/>
                <w:szCs w:val="18"/>
              </w:rPr>
            </w:r>
            <w:r>
              <w:rPr>
                <w:rFonts w:ascii="Liberation Serif" w:hAnsi="Liberation Serif" w:eastAsia="Liberation Serif" w:cs="Liberation Serif"/>
                <w:sz w:val="18"/>
                <w:szCs w:val="18"/>
              </w:rPr>
              <w:t xml:space="preserve">Запрос от 18.08.2026 № 89-939/05691-08-02/99</w:t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</w:p>
        </w:tc>
      </w:tr>
      <w:tr>
        <w:tblPrEx/>
        <w:trPr>
          <w:trHeight w:val="90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  <w:t xml:space="preserve">1</w:t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  <w:t xml:space="preserve">Топливо дизельное</w:t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  <w:t xml:space="preserve">19.20.21.300</w:t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  <w:t xml:space="preserve">тонна</w:t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8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 xml:space="preserve">29</w:t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  <w:r>
              <w:rPr>
                <w:rFonts w:ascii="Liberation Serif" w:hAnsi="Liberation Serif" w:cs="Liberation Serif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18"/>
                <w:szCs w:val="18"/>
                <w:highlight w:val="none"/>
              </w:rPr>
            </w:r>
            <w:r>
              <w:rPr>
                <w:rFonts w:ascii="Liberation Serif" w:hAnsi="Liberation Serif" w:cs="Liberation Serif"/>
                <w:sz w:val="18"/>
                <w:szCs w:val="18"/>
                <w:highlight w:val="none"/>
              </w:rPr>
            </w:r>
            <w:r>
              <w:rPr>
                <w:rFonts w:ascii="Liberation Serif" w:hAnsi="Liberation Serif" w:cs="Liberation Serif"/>
                <w:sz w:val="18"/>
                <w:szCs w:val="18"/>
                <w:highlight w:val="none"/>
              </w:rPr>
            </w:r>
          </w:p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18"/>
                <w:szCs w:val="18"/>
                <w:highlight w:val="none"/>
              </w:rPr>
              <w:t xml:space="preserve">171 500</w:t>
            </w:r>
            <w:r>
              <w:rPr>
                <w:rFonts w:ascii="Liberation Serif" w:hAnsi="Liberation Serif" w:eastAsia="Liberation Serif" w:cs="Liberation Serif"/>
                <w:sz w:val="18"/>
                <w:szCs w:val="18"/>
                <w:highlight w:val="none"/>
              </w:rPr>
              <w:t xml:space="preserve">,00</w:t>
            </w:r>
            <w:r>
              <w:rPr>
                <w:rFonts w:ascii="Liberation Serif" w:hAnsi="Liberation Serif" w:cs="Liberation Serif"/>
                <w:sz w:val="18"/>
                <w:szCs w:val="18"/>
                <w:highlight w:val="none"/>
              </w:rPr>
            </w:r>
            <w:r>
              <w:rPr>
                <w:rFonts w:ascii="Liberation Serif" w:hAnsi="Liberation Serif" w:cs="Liberation Serif"/>
                <w:sz w:val="18"/>
                <w:szCs w:val="18"/>
                <w:highlight w:val="none"/>
              </w:rPr>
            </w:r>
          </w:p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18"/>
                <w:szCs w:val="18"/>
                <w:highlight w:val="none"/>
              </w:rPr>
            </w:r>
            <w:r>
              <w:rPr>
                <w:rFonts w:ascii="Liberation Serif" w:hAnsi="Liberation Serif" w:cs="Liberation Serif"/>
                <w:sz w:val="18"/>
                <w:szCs w:val="18"/>
                <w:highlight w:val="none"/>
              </w:rPr>
            </w:r>
            <w:r>
              <w:rPr>
                <w:rFonts w:ascii="Liberation Serif" w:hAnsi="Liberation Serif" w:cs="Liberation Serif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18"/>
                <w:szCs w:val="18"/>
                <w:highlight w:val="none"/>
              </w:rPr>
              <w:t xml:space="preserve">4 973 500,00</w:t>
            </w:r>
            <w:r>
              <w:rPr>
                <w:rFonts w:ascii="Liberation Serif" w:hAnsi="Liberation Serif" w:cs="Liberation Serif"/>
                <w:sz w:val="18"/>
                <w:szCs w:val="18"/>
                <w:highlight w:val="none"/>
              </w:rPr>
            </w:r>
            <w:r>
              <w:rPr>
                <w:rFonts w:ascii="Liberation Serif" w:hAnsi="Liberation Serif" w:cs="Liberation Serif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6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eastAsia="Liberation Serif" w:cs="Liberation Serif"/>
                <w:sz w:val="20"/>
                <w:szCs w:val="20"/>
                <w:highlight w:val="green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  <w:t xml:space="preserve">——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green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gree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0"/>
                <w:szCs w:val="20"/>
                <w:highlight w:val="green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highlight w:val="green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highlight w:val="green"/>
              </w:rPr>
            </w:r>
          </w:p>
          <w:p>
            <w:pPr>
              <w:jc w:val="center"/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  <w:t xml:space="preserve">——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</w:p>
          <w:p>
            <w:pPr>
              <w:jc w:val="center"/>
              <w:rPr>
                <w:rFonts w:ascii="Liberation Serif" w:hAnsi="Liberation Serif" w:cs="Liberation Serif"/>
                <w:sz w:val="20"/>
                <w:szCs w:val="20"/>
                <w:highlight w:val="green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green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highlight w:val="green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highlight w:val="green"/>
              </w:rPr>
            </w:r>
          </w:p>
          <w:p>
            <w:pPr>
              <w:jc w:val="center"/>
              <w:rPr>
                <w:rFonts w:ascii="Liberation Serif" w:hAnsi="Liberation Serif" w:cs="Liberation Serif"/>
                <w:sz w:val="20"/>
                <w:szCs w:val="20"/>
                <w:highlight w:val="green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green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highlight w:val="green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highlight w:val="gree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0"/>
                <w:szCs w:val="20"/>
                <w:highlight w:val="green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highlight w:val="green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highlight w:val="green"/>
              </w:rPr>
            </w:r>
          </w:p>
          <w:p>
            <w:pPr>
              <w:jc w:val="center"/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  <w:t xml:space="preserve">——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</w:p>
          <w:p>
            <w:r/>
            <w:r/>
          </w:p>
        </w:tc>
      </w:tr>
      <w:tr>
        <w:tblPrEx/>
        <w:trPr>
          <w:trHeight w:val="207"/>
        </w:trPr>
        <w:tc>
          <w:tcPr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7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18"/>
                <w:szCs w:val="1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18"/>
                <w:szCs w:val="18"/>
                <w:highlight w:val="none"/>
                <w:u w:val="none"/>
                <w:vertAlign w:val="baseline"/>
              </w:rPr>
              <w:t xml:space="preserve">ИТОГО:</w:t>
            </w:r>
            <w:r>
              <w:rPr>
                <w:rFonts w:ascii="Liberation Serif" w:hAnsi="Liberation Serif" w:cs="Liberation Serif"/>
                <w:sz w:val="18"/>
                <w:szCs w:val="18"/>
                <w:highlight w:val="none"/>
              </w:rPr>
            </w:r>
            <w:r>
              <w:rPr>
                <w:rFonts w:ascii="Liberation Serif" w:hAnsi="Liberation Serif" w:cs="Liberation Serif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18"/>
                <w:szCs w:val="1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18"/>
                <w:szCs w:val="18"/>
                <w:highlight w:val="none"/>
              </w:rPr>
              <w:t xml:space="preserve">4 973 500,00</w:t>
            </w:r>
            <w:r>
              <w:rPr>
                <w:rFonts w:ascii="Liberation Serif" w:hAnsi="Liberation Serif" w:cs="Liberation Serif"/>
                <w:b/>
                <w:bCs/>
                <w:sz w:val="18"/>
                <w:szCs w:val="18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6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</w:tbl>
    <w:p>
      <w:pPr>
        <w:contextualSpacing/>
        <w:ind w:left="0" w:right="0" w:firstLine="567"/>
        <w:jc w:val="left"/>
        <w:spacing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left="1134" w:firstLine="567"/>
        <w:jc w:val="both"/>
        <w:spacing w:after="0" w:afterAutospacing="0" w:line="240" w:lineRule="auto"/>
        <w:tabs>
          <w:tab w:val="left" w:pos="-142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-44" w:firstLine="709"/>
        <w:jc w:val="both"/>
        <w:spacing w:after="0" w:afterAutospacing="0" w:line="240" w:lineRule="auto"/>
        <w:tabs>
          <w:tab w:val="left" w:pos="-4502" w:leader="none"/>
          <w:tab w:val="left" w:pos="-4360" w:leader="none"/>
        </w:tabs>
        <w:rPr>
          <w:rFonts w:ascii="Liberation Serif" w:hAnsi="Liberation Serif" w:cs="Liberation Serif"/>
          <w:b/>
          <w:bCs/>
          <w:sz w:val="20"/>
          <w:szCs w:val="20"/>
          <w:highlight w:val="white"/>
        </w:rPr>
      </w:pPr>
      <w:r>
        <w:rPr>
          <w:rFonts w:ascii="Liberation Serif" w:hAnsi="Liberation Serif" w:eastAsia="Liberation Serif" w:cs="Liberation Serif"/>
          <w:b/>
          <w:i w:val="0"/>
          <w:strike w:val="0"/>
          <w:color w:val="000000"/>
          <w:sz w:val="20"/>
          <w:u w:val="none"/>
          <w:vertAlign w:val="baseline"/>
        </w:rPr>
        <w:t xml:space="preserve">Начальная (максимальная) цена договора составит: </w:t>
      </w: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  <w:t xml:space="preserve">4 973 500 (Четыре миллиона девятьсот семьдесят три тысячи пятьсот) рублей 00 копеек.</w:t>
      </w:r>
      <w:r>
        <w:rPr>
          <w:rFonts w:ascii="Liberation Serif" w:hAnsi="Liberation Serif" w:cs="Liberation Serif"/>
          <w:b/>
          <w:bCs/>
          <w:sz w:val="20"/>
          <w:szCs w:val="20"/>
          <w:highlight w:val="whit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white"/>
        </w:rPr>
      </w:r>
    </w:p>
    <w:p>
      <w:pPr>
        <w:jc w:val="left"/>
      </w:pPr>
      <w:r>
        <w:rPr>
          <w:rFonts w:ascii="Liberation Serif" w:hAnsi="Liberation Serif" w:eastAsia="Liberation Serif" w:cs="Liberation Serif"/>
          <w:b/>
          <w:i w:val="0"/>
          <w:strike w:val="0"/>
          <w:color w:val="000000"/>
          <w:sz w:val="20"/>
          <w:u w:val="none"/>
          <w:vertAlign w:val="baseline"/>
        </w:rPr>
        <w:br/>
        <w:t xml:space="preserve">                        НМЦ договора сформирована  Методом сопоставимых рыночных цен (анализ рынка), путем наименьшего ценового показателя.</w:t>
      </w:r>
      <w:r/>
    </w:p>
    <w:p>
      <w:pPr>
        <w:contextualSpacing/>
        <w:ind w:left="1134" w:firstLine="567"/>
        <w:jc w:val="center"/>
        <w:spacing w:after="0" w:afterAutospacing="0" w:line="240" w:lineRule="auto"/>
        <w:tabs>
          <w:tab w:val="left" w:pos="-142" w:leader="none"/>
          <w:tab w:val="left" w:pos="993" w:leader="none"/>
        </w:tabs>
        <w:rPr>
          <w:rFonts w:ascii="Liberation Serif" w:hAnsi="Liberation Serif" w:cs="Liberation Serif"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Cs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0"/>
          <w:szCs w:val="20"/>
        </w:rPr>
        <w:sectPr>
          <w:footerReference w:type="default" r:id="rId10"/>
          <w:footnotePr/>
          <w:endnotePr/>
          <w:type w:val="nextPage"/>
          <w:pgSz w:w="16838" w:h="11906" w:orient="landscape"/>
          <w:pgMar w:top="851" w:right="567" w:bottom="425" w:left="425" w:header="709" w:footer="709" w:gutter="0"/>
          <w:cols w:num="1" w:sep="0" w:space="708" w:equalWidth="1"/>
          <w:docGrid w:linePitch="360"/>
        </w:sect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r/>
      <w:r/>
    </w:p>
    <w:sectPr>
      <w:headerReference w:type="default" r:id="rId9"/>
      <w:footerReference w:type="default" r:id="rId11"/>
      <w:footnotePr/>
      <w:endnotePr/>
      <w:type w:val="nextPage"/>
      <w:pgSz w:w="11906" w:h="16838" w:orient="portrait"/>
      <w:pgMar w:top="-390" w:right="566" w:bottom="851" w:left="993" w:header="708" w:footer="71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IDAutomationHC39M Free Version">
    <w:panose1 w:val="02000603000000000000"/>
  </w:font>
  <w:font w:name="Liberation Sans">
    <w:panose1 w:val="020B0604020202020204"/>
  </w:font>
  <w:font w:name="Wingdings">
    <w:panose1 w:val="05010000000000000000"/>
  </w:font>
  <w:font w:name="Symbol">
    <w:panose1 w:val="05010000000000000000"/>
  </w:font>
  <w:font w:name="TimesDL">
    <w:panose1 w:val="02000603000000000000"/>
  </w:font>
  <w:font w:name="Calibri">
    <w:panose1 w:val="020F0502020204030204"/>
  </w:font>
  <w:font w:name="Tahoma">
    <w:panose1 w:val="020B0604030504040204"/>
  </w:font>
  <w:font w:name="Courier New">
    <w:panose1 w:val="02070309020205020404"/>
  </w:font>
  <w:font w:name="Garamond">
    <w:panose1 w:val="020206030504050203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2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2"/>
      <w:jc w:val="right"/>
      <w:spacing w:before="240" w:after="240"/>
      <w:rPr>
        <w:rFonts w:ascii="IDAutomationHC39M Free Version" w:hAnsi="IDAutomationHC39M Free Version"/>
        <w:sz w:val="16"/>
        <w:szCs w:val="16"/>
      </w:rPr>
    </w:pPr>
    <w:r>
      <w:rPr>
        <w:rFonts w:ascii="IDAutomationHC39M Free Version" w:hAnsi="IDAutomationHC39M Free Version"/>
        <w:sz w:val="16"/>
        <w:szCs w:val="16"/>
      </w:rPr>
    </w:r>
    <w:r>
      <w:rPr>
        <w:rFonts w:ascii="IDAutomationHC39M Free Version" w:hAnsi="IDAutomationHC39M Free Version"/>
        <w:sz w:val="16"/>
        <w:szCs w:val="16"/>
      </w:rPr>
    </w:r>
    <w:r>
      <w:rPr>
        <w:rFonts w:ascii="IDAutomationHC39M Free Version" w:hAnsi="IDAutomationHC39M Free Version"/>
        <w:sz w:val="16"/>
        <w:szCs w:val="16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0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6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 w:cs="Times New Roman"/>
        <w:color w:val="000000"/>
      </w:rPr>
    </w:lvl>
    <w:lvl w:ilvl="1">
      <w:start w:val="4"/>
      <w:numFmt w:val="decimal"/>
      <w:isLgl w:val="false"/>
      <w:suff w:val="tab"/>
      <w:lvlText w:val="%1.%2."/>
      <w:lvlJc w:val="left"/>
      <w:pPr>
        <w:ind w:left="894" w:hanging="540"/>
      </w:pPr>
      <w:rPr>
        <w:rFonts w:hint="default" w:cs="Times New Roman"/>
        <w:color w:val="000000"/>
      </w:rPr>
    </w:lvl>
    <w:lvl w:ilvl="2">
      <w:start w:val="3"/>
      <w:numFmt w:val="decimal"/>
      <w:isLgl w:val="false"/>
      <w:suff w:val="tab"/>
      <w:lvlText w:val="%1.%2.%3."/>
      <w:lvlJc w:val="left"/>
      <w:pPr>
        <w:ind w:left="1428" w:hanging="720"/>
      </w:pPr>
      <w:rPr>
        <w:rFonts w:hint="default" w:cs="Times New Roman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82" w:hanging="720"/>
      </w:pPr>
      <w:rPr>
        <w:rFonts w:hint="default" w:cs="Times New Roman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  <w:rPr>
        <w:rFonts w:hint="default" w:cs="Times New Roman"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0" w:hanging="1080"/>
      </w:pPr>
      <w:rPr>
        <w:rFonts w:hint="default" w:cs="Times New Roman"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564" w:hanging="1440"/>
      </w:pPr>
      <w:rPr>
        <w:rFonts w:hint="default" w:cs="Times New Roman"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18" w:hanging="1440"/>
      </w:pPr>
      <w:rPr>
        <w:rFonts w:hint="default" w:cs="Times New Roman"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32" w:hanging="1800"/>
      </w:pPr>
      <w:rPr>
        <w:rFonts w:hint="default" w:cs="Times New Roman"/>
        <w:color w:val="000000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</w:num>
  <w:num w:numId="5">
    <w:abstractNumId w:val="6"/>
  </w:num>
  <w:num w:numId="6">
    <w:abstractNumId w:val="18"/>
  </w:num>
  <w:num w:numId="7">
    <w:abstractNumId w:val="16"/>
  </w:num>
  <w:num w:numId="8">
    <w:abstractNumId w:val="7"/>
  </w:num>
  <w:num w:numId="9">
    <w:abstractNumId w:val="17"/>
  </w:num>
  <w:num w:numId="10">
    <w:abstractNumId w:val="14"/>
  </w:num>
  <w:num w:numId="11">
    <w:abstractNumId w:val="10"/>
  </w:num>
  <w:num w:numId="12">
    <w:abstractNumId w:val="13"/>
  </w:num>
  <w:num w:numId="13">
    <w:abstractNumId w:val="12"/>
  </w:num>
  <w:num w:numId="14">
    <w:abstractNumId w:val="11"/>
  </w:num>
  <w:num w:numId="15">
    <w:abstractNumId w:val="8"/>
  </w:num>
  <w:num w:numId="16">
    <w:abstractNumId w:val="9"/>
  </w:num>
  <w:num w:numId="17">
    <w:abstractNumId w:val="5"/>
  </w:num>
  <w:num w:numId="18">
    <w:abstractNumId w:val="15"/>
  </w:num>
  <w:num w:numId="19">
    <w:abstractNumId w:val="4"/>
  </w:num>
  <w:num w:numId="20">
    <w:abstractNumId w:val="0"/>
  </w:num>
  <w:num w:numId="21">
    <w:abstractNumId w:val="19"/>
  </w:num>
  <w:num w:numId="22">
    <w:abstractNumId w:val="20"/>
  </w:num>
  <w:num w:numId="23">
    <w:abstractNumId w:val="21"/>
  </w:num>
  <w:num w:numId="24">
    <w:abstractNumId w:val="22"/>
  </w:num>
  <w:num w:numId="25">
    <w:abstractNumId w:val="23"/>
  </w:num>
  <w:num w:numId="26">
    <w:abstractNumId w:val="24"/>
  </w:num>
  <w:num w:numId="27">
    <w:abstractNumId w:val="25"/>
  </w:num>
  <w:num w:numId="28">
    <w:abstractNumId w:val="26"/>
  </w:num>
  <w:num w:numId="29">
    <w:abstractNumId w:val="27"/>
  </w:num>
  <w:num w:numId="30">
    <w:abstractNumId w:val="28"/>
  </w:num>
  <w:num w:numId="31">
    <w:abstractNumId w:val="29"/>
  </w:num>
  <w:num w:numId="32">
    <w:abstractNumId w:val="30"/>
  </w:num>
  <w:num w:numId="33">
    <w:abstractNumId w:val="31"/>
  </w:num>
  <w:num w:numId="34">
    <w:abstractNumId w:val="32"/>
  </w:num>
  <w:num w:numId="35">
    <w:abstractNumId w:val="33"/>
  </w:num>
  <w:num w:numId="36">
    <w:abstractNumId w:val="34"/>
  </w:num>
  <w:num w:numId="37">
    <w:abstractNumId w:val="35"/>
  </w:num>
  <w:num w:numId="38">
    <w:abstractNumId w:val="36"/>
  </w:num>
  <w:num w:numId="39">
    <w:abstractNumId w:val="37"/>
  </w:num>
  <w:num w:numId="4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6">
    <w:name w:val="Heading 1 Char"/>
    <w:basedOn w:val="938"/>
    <w:link w:val="932"/>
    <w:uiPriority w:val="9"/>
    <w:rPr>
      <w:rFonts w:ascii="Arial" w:hAnsi="Arial" w:eastAsia="Arial" w:cs="Arial"/>
      <w:sz w:val="40"/>
      <w:szCs w:val="40"/>
    </w:rPr>
  </w:style>
  <w:style w:type="character" w:styleId="767">
    <w:name w:val="Heading 2 Char"/>
    <w:basedOn w:val="938"/>
    <w:link w:val="933"/>
    <w:uiPriority w:val="9"/>
    <w:rPr>
      <w:rFonts w:ascii="Arial" w:hAnsi="Arial" w:eastAsia="Arial" w:cs="Arial"/>
      <w:sz w:val="34"/>
    </w:rPr>
  </w:style>
  <w:style w:type="paragraph" w:styleId="768">
    <w:name w:val="Heading 3"/>
    <w:basedOn w:val="931"/>
    <w:next w:val="931"/>
    <w:link w:val="76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69">
    <w:name w:val="Heading 3 Char"/>
    <w:basedOn w:val="938"/>
    <w:link w:val="768"/>
    <w:uiPriority w:val="9"/>
    <w:rPr>
      <w:rFonts w:ascii="Arial" w:hAnsi="Arial" w:eastAsia="Arial" w:cs="Arial"/>
      <w:sz w:val="30"/>
      <w:szCs w:val="30"/>
    </w:rPr>
  </w:style>
  <w:style w:type="character" w:styleId="770">
    <w:name w:val="Heading 4 Char"/>
    <w:basedOn w:val="938"/>
    <w:link w:val="934"/>
    <w:uiPriority w:val="9"/>
    <w:rPr>
      <w:rFonts w:ascii="Arial" w:hAnsi="Arial" w:eastAsia="Arial" w:cs="Arial"/>
      <w:b/>
      <w:bCs/>
      <w:sz w:val="26"/>
      <w:szCs w:val="26"/>
    </w:rPr>
  </w:style>
  <w:style w:type="character" w:styleId="771">
    <w:name w:val="Heading 5 Char"/>
    <w:basedOn w:val="938"/>
    <w:link w:val="935"/>
    <w:uiPriority w:val="9"/>
    <w:rPr>
      <w:rFonts w:ascii="Arial" w:hAnsi="Arial" w:eastAsia="Arial" w:cs="Arial"/>
      <w:b/>
      <w:bCs/>
      <w:sz w:val="24"/>
      <w:szCs w:val="24"/>
    </w:rPr>
  </w:style>
  <w:style w:type="character" w:styleId="772">
    <w:name w:val="Heading 6 Char"/>
    <w:basedOn w:val="938"/>
    <w:link w:val="936"/>
    <w:uiPriority w:val="9"/>
    <w:rPr>
      <w:rFonts w:ascii="Arial" w:hAnsi="Arial" w:eastAsia="Arial" w:cs="Arial"/>
      <w:b/>
      <w:bCs/>
      <w:sz w:val="22"/>
      <w:szCs w:val="22"/>
    </w:rPr>
  </w:style>
  <w:style w:type="paragraph" w:styleId="773">
    <w:name w:val="Heading 7"/>
    <w:basedOn w:val="931"/>
    <w:next w:val="931"/>
    <w:link w:val="77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74">
    <w:name w:val="Heading 7 Char"/>
    <w:basedOn w:val="938"/>
    <w:link w:val="77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5">
    <w:name w:val="Heading 8 Char"/>
    <w:basedOn w:val="938"/>
    <w:link w:val="937"/>
    <w:uiPriority w:val="9"/>
    <w:rPr>
      <w:rFonts w:ascii="Arial" w:hAnsi="Arial" w:eastAsia="Arial" w:cs="Arial"/>
      <w:i/>
      <w:iCs/>
      <w:sz w:val="22"/>
      <w:szCs w:val="22"/>
    </w:rPr>
  </w:style>
  <w:style w:type="paragraph" w:styleId="776">
    <w:name w:val="Heading 9"/>
    <w:basedOn w:val="931"/>
    <w:next w:val="931"/>
    <w:link w:val="7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7">
    <w:name w:val="Heading 9 Char"/>
    <w:basedOn w:val="938"/>
    <w:link w:val="776"/>
    <w:uiPriority w:val="9"/>
    <w:rPr>
      <w:rFonts w:ascii="Arial" w:hAnsi="Arial" w:eastAsia="Arial" w:cs="Arial"/>
      <w:i/>
      <w:iCs/>
      <w:sz w:val="21"/>
      <w:szCs w:val="21"/>
    </w:rPr>
  </w:style>
  <w:style w:type="character" w:styleId="778">
    <w:name w:val="Title Char"/>
    <w:basedOn w:val="938"/>
    <w:link w:val="964"/>
    <w:uiPriority w:val="10"/>
    <w:rPr>
      <w:sz w:val="48"/>
      <w:szCs w:val="48"/>
    </w:rPr>
  </w:style>
  <w:style w:type="paragraph" w:styleId="779">
    <w:name w:val="Subtitle"/>
    <w:basedOn w:val="931"/>
    <w:next w:val="931"/>
    <w:link w:val="780"/>
    <w:uiPriority w:val="11"/>
    <w:qFormat/>
    <w:pPr>
      <w:spacing w:before="200" w:after="200"/>
    </w:pPr>
    <w:rPr>
      <w:sz w:val="24"/>
      <w:szCs w:val="24"/>
    </w:rPr>
  </w:style>
  <w:style w:type="character" w:styleId="780">
    <w:name w:val="Subtitle Char"/>
    <w:basedOn w:val="938"/>
    <w:link w:val="779"/>
    <w:uiPriority w:val="11"/>
    <w:rPr>
      <w:sz w:val="24"/>
      <w:szCs w:val="24"/>
    </w:rPr>
  </w:style>
  <w:style w:type="paragraph" w:styleId="781">
    <w:name w:val="Quote"/>
    <w:basedOn w:val="931"/>
    <w:next w:val="931"/>
    <w:link w:val="782"/>
    <w:uiPriority w:val="29"/>
    <w:qFormat/>
    <w:pPr>
      <w:ind w:left="720" w:right="720"/>
    </w:pPr>
    <w:rPr>
      <w:i/>
    </w:rPr>
  </w:style>
  <w:style w:type="character" w:styleId="782">
    <w:name w:val="Quote Char"/>
    <w:link w:val="781"/>
    <w:uiPriority w:val="29"/>
    <w:rPr>
      <w:i/>
    </w:rPr>
  </w:style>
  <w:style w:type="paragraph" w:styleId="783">
    <w:name w:val="Intense Quote"/>
    <w:basedOn w:val="931"/>
    <w:next w:val="931"/>
    <w:link w:val="78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4">
    <w:name w:val="Intense Quote Char"/>
    <w:link w:val="783"/>
    <w:uiPriority w:val="30"/>
    <w:rPr>
      <w:i/>
    </w:rPr>
  </w:style>
  <w:style w:type="character" w:styleId="785">
    <w:name w:val="Header Char"/>
    <w:basedOn w:val="938"/>
    <w:link w:val="950"/>
    <w:uiPriority w:val="99"/>
  </w:style>
  <w:style w:type="character" w:styleId="786">
    <w:name w:val="Footer Char"/>
    <w:basedOn w:val="938"/>
    <w:link w:val="952"/>
    <w:uiPriority w:val="99"/>
  </w:style>
  <w:style w:type="paragraph" w:styleId="787">
    <w:name w:val="Caption"/>
    <w:basedOn w:val="931"/>
    <w:next w:val="931"/>
    <w:link w:val="7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88">
    <w:name w:val="Caption Char"/>
    <w:basedOn w:val="787"/>
    <w:link w:val="952"/>
    <w:uiPriority w:val="99"/>
  </w:style>
  <w:style w:type="table" w:styleId="789">
    <w:name w:val="Table Grid Light"/>
    <w:basedOn w:val="9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0">
    <w:name w:val="Plain Table 1"/>
    <w:basedOn w:val="9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1">
    <w:name w:val="Plain Table 2"/>
    <w:basedOn w:val="93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2">
    <w:name w:val="Plain Table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3">
    <w:name w:val="Plain Table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Plain Table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5">
    <w:name w:val="Grid Table 1 Light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Grid Table 1 Light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Grid Table 1 Light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Grid Table 1 Light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1 Light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1 Light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Grid Table 1 Light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Grid Table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2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2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2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2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2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2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3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3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3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4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7">
    <w:name w:val="Grid Table 4 - Accent 1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8">
    <w:name w:val="Grid Table 4 - Accent 2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9">
    <w:name w:val="Grid Table 4 - Accent 3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0">
    <w:name w:val="Grid Table 4 - Accent 4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1">
    <w:name w:val="Grid Table 4 - Accent 5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2">
    <w:name w:val="Grid Table 4 - Accent 6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3">
    <w:name w:val="Grid Table 5 Dark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4">
    <w:name w:val="Grid Table 5 Dark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5">
    <w:name w:val="Grid Table 5 Dark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6">
    <w:name w:val="Grid Table 5 Dark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27">
    <w:name w:val="Grid Table 5 Dark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28">
    <w:name w:val="Grid Table 5 Dark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29">
    <w:name w:val="Grid Table 5 Dark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30">
    <w:name w:val="Grid Table 6 Colorful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31">
    <w:name w:val="Grid Table 6 Colorful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32">
    <w:name w:val="Grid Table 6 Colorful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33">
    <w:name w:val="Grid Table 6 Colorful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34">
    <w:name w:val="Grid Table 6 Colorful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35">
    <w:name w:val="Grid Table 6 Colorful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6">
    <w:name w:val="Grid Table 6 Colorful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7">
    <w:name w:val="Grid Table 7 Colorful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7 Colorful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7 Colorful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7 Colorful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7 Colorful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7 Colorful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7 Colorful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List Table 1 Light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1 Light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1 Light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2">
    <w:name w:val="List Table 2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3">
    <w:name w:val="List Table 2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4">
    <w:name w:val="List Table 2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5">
    <w:name w:val="List Table 2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6">
    <w:name w:val="List Table 2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7">
    <w:name w:val="List Table 2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8">
    <w:name w:val="List Table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3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3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3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3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3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3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4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4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4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4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5 Dark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3">
    <w:name w:val="List Table 5 Dark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4">
    <w:name w:val="List Table 5 Dark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5">
    <w:name w:val="List Table 5 Dark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6">
    <w:name w:val="List Table 5 Dark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7">
    <w:name w:val="List Table 5 Dark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8">
    <w:name w:val="List Table 5 Dark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9">
    <w:name w:val="List Table 6 Colorful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80">
    <w:name w:val="List Table 6 Colorful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1">
    <w:name w:val="List Table 6 Colorful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2">
    <w:name w:val="List Table 6 Colorful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3">
    <w:name w:val="List Table 6 Colorful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4">
    <w:name w:val="List Table 6 Colorful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5">
    <w:name w:val="List Table 6 Colorful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6">
    <w:name w:val="List Table 7 Colorful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87">
    <w:name w:val="List Table 7 Colorful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88">
    <w:name w:val="List Table 7 Colorful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89">
    <w:name w:val="List Table 7 Colorful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90">
    <w:name w:val="List Table 7 Colorful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91">
    <w:name w:val="List Table 7 Colorful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92">
    <w:name w:val="List Table 7 Colorful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93">
    <w:name w:val="Lined - Accent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4">
    <w:name w:val="Lined - Accent 1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5">
    <w:name w:val="Lined - Accent 2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6">
    <w:name w:val="Lined - Accent 3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7">
    <w:name w:val="Lined - Accent 4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8">
    <w:name w:val="Lined - Accent 5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9">
    <w:name w:val="Lined - Accent 6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0">
    <w:name w:val="Bordered &amp; Lined - Accent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1">
    <w:name w:val="Bordered &amp; Lined - Accent 1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2">
    <w:name w:val="Bordered &amp; Lined - Accent 2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3">
    <w:name w:val="Bordered &amp; Lined - Accent 3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4">
    <w:name w:val="Bordered &amp; Lined - Accent 4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5">
    <w:name w:val="Bordered &amp; Lined - Accent 5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6">
    <w:name w:val="Bordered &amp; Lined - Accent 6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7">
    <w:name w:val="Bordered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8">
    <w:name w:val="Bordered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9">
    <w:name w:val="Bordered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10">
    <w:name w:val="Bordered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11">
    <w:name w:val="Bordered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2">
    <w:name w:val="Bordered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3">
    <w:name w:val="Bordered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14">
    <w:name w:val="footnote text"/>
    <w:basedOn w:val="931"/>
    <w:link w:val="915"/>
    <w:uiPriority w:val="99"/>
    <w:semiHidden/>
    <w:unhideWhenUsed/>
    <w:pPr>
      <w:spacing w:after="40" w:line="240" w:lineRule="auto"/>
    </w:pPr>
    <w:rPr>
      <w:sz w:val="18"/>
    </w:rPr>
  </w:style>
  <w:style w:type="character" w:styleId="915">
    <w:name w:val="Footnote Text Char"/>
    <w:link w:val="914"/>
    <w:uiPriority w:val="99"/>
    <w:rPr>
      <w:sz w:val="18"/>
    </w:rPr>
  </w:style>
  <w:style w:type="character" w:styleId="916">
    <w:name w:val="footnote reference"/>
    <w:basedOn w:val="938"/>
    <w:uiPriority w:val="99"/>
    <w:unhideWhenUsed/>
    <w:rPr>
      <w:vertAlign w:val="superscript"/>
    </w:rPr>
  </w:style>
  <w:style w:type="paragraph" w:styleId="917">
    <w:name w:val="endnote text"/>
    <w:basedOn w:val="931"/>
    <w:link w:val="918"/>
    <w:uiPriority w:val="99"/>
    <w:semiHidden/>
    <w:unhideWhenUsed/>
    <w:pPr>
      <w:spacing w:after="0" w:line="240" w:lineRule="auto"/>
    </w:pPr>
    <w:rPr>
      <w:sz w:val="20"/>
    </w:rPr>
  </w:style>
  <w:style w:type="character" w:styleId="918">
    <w:name w:val="Endnote Text Char"/>
    <w:link w:val="917"/>
    <w:uiPriority w:val="99"/>
    <w:rPr>
      <w:sz w:val="20"/>
    </w:rPr>
  </w:style>
  <w:style w:type="character" w:styleId="919">
    <w:name w:val="endnote reference"/>
    <w:basedOn w:val="938"/>
    <w:uiPriority w:val="99"/>
    <w:semiHidden/>
    <w:unhideWhenUsed/>
    <w:rPr>
      <w:vertAlign w:val="superscript"/>
    </w:rPr>
  </w:style>
  <w:style w:type="paragraph" w:styleId="920">
    <w:name w:val="toc 1"/>
    <w:basedOn w:val="931"/>
    <w:next w:val="931"/>
    <w:uiPriority w:val="39"/>
    <w:unhideWhenUsed/>
    <w:pPr>
      <w:ind w:left="0" w:right="0" w:firstLine="0"/>
      <w:spacing w:after="57"/>
    </w:pPr>
  </w:style>
  <w:style w:type="paragraph" w:styleId="921">
    <w:name w:val="toc 2"/>
    <w:basedOn w:val="931"/>
    <w:next w:val="931"/>
    <w:uiPriority w:val="39"/>
    <w:unhideWhenUsed/>
    <w:pPr>
      <w:ind w:left="283" w:right="0" w:firstLine="0"/>
      <w:spacing w:after="57"/>
    </w:pPr>
  </w:style>
  <w:style w:type="paragraph" w:styleId="922">
    <w:name w:val="toc 3"/>
    <w:basedOn w:val="931"/>
    <w:next w:val="931"/>
    <w:uiPriority w:val="39"/>
    <w:unhideWhenUsed/>
    <w:pPr>
      <w:ind w:left="567" w:right="0" w:firstLine="0"/>
      <w:spacing w:after="57"/>
    </w:pPr>
  </w:style>
  <w:style w:type="paragraph" w:styleId="923">
    <w:name w:val="toc 4"/>
    <w:basedOn w:val="931"/>
    <w:next w:val="931"/>
    <w:uiPriority w:val="39"/>
    <w:unhideWhenUsed/>
    <w:pPr>
      <w:ind w:left="850" w:right="0" w:firstLine="0"/>
      <w:spacing w:after="57"/>
    </w:pPr>
  </w:style>
  <w:style w:type="paragraph" w:styleId="924">
    <w:name w:val="toc 5"/>
    <w:basedOn w:val="931"/>
    <w:next w:val="931"/>
    <w:uiPriority w:val="39"/>
    <w:unhideWhenUsed/>
    <w:pPr>
      <w:ind w:left="1134" w:right="0" w:firstLine="0"/>
      <w:spacing w:after="57"/>
    </w:pPr>
  </w:style>
  <w:style w:type="paragraph" w:styleId="925">
    <w:name w:val="toc 6"/>
    <w:basedOn w:val="931"/>
    <w:next w:val="931"/>
    <w:uiPriority w:val="39"/>
    <w:unhideWhenUsed/>
    <w:pPr>
      <w:ind w:left="1417" w:right="0" w:firstLine="0"/>
      <w:spacing w:after="57"/>
    </w:pPr>
  </w:style>
  <w:style w:type="paragraph" w:styleId="926">
    <w:name w:val="toc 7"/>
    <w:basedOn w:val="931"/>
    <w:next w:val="931"/>
    <w:uiPriority w:val="39"/>
    <w:unhideWhenUsed/>
    <w:pPr>
      <w:ind w:left="1701" w:right="0" w:firstLine="0"/>
      <w:spacing w:after="57"/>
    </w:pPr>
  </w:style>
  <w:style w:type="paragraph" w:styleId="927">
    <w:name w:val="toc 8"/>
    <w:basedOn w:val="931"/>
    <w:next w:val="931"/>
    <w:uiPriority w:val="39"/>
    <w:unhideWhenUsed/>
    <w:pPr>
      <w:ind w:left="1984" w:right="0" w:firstLine="0"/>
      <w:spacing w:after="57"/>
    </w:pPr>
  </w:style>
  <w:style w:type="paragraph" w:styleId="928">
    <w:name w:val="toc 9"/>
    <w:basedOn w:val="931"/>
    <w:next w:val="931"/>
    <w:uiPriority w:val="39"/>
    <w:unhideWhenUsed/>
    <w:pPr>
      <w:ind w:left="2268" w:right="0" w:firstLine="0"/>
      <w:spacing w:after="57"/>
    </w:pPr>
  </w:style>
  <w:style w:type="paragraph" w:styleId="929">
    <w:name w:val="TOC Heading"/>
    <w:uiPriority w:val="39"/>
    <w:unhideWhenUsed/>
  </w:style>
  <w:style w:type="paragraph" w:styleId="930">
    <w:name w:val="table of figures"/>
    <w:basedOn w:val="931"/>
    <w:next w:val="931"/>
    <w:uiPriority w:val="99"/>
    <w:unhideWhenUsed/>
    <w:pPr>
      <w:spacing w:after="0" w:afterAutospacing="0"/>
    </w:pPr>
  </w:style>
  <w:style w:type="paragraph" w:styleId="931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2">
    <w:name w:val="Heading 1"/>
    <w:basedOn w:val="931"/>
    <w:next w:val="931"/>
    <w:link w:val="941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933">
    <w:name w:val="Heading 2"/>
    <w:basedOn w:val="931"/>
    <w:next w:val="931"/>
    <w:link w:val="942"/>
    <w:uiPriority w:val="9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934">
    <w:name w:val="Heading 4"/>
    <w:basedOn w:val="931"/>
    <w:next w:val="931"/>
    <w:link w:val="943"/>
    <w:semiHidden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935">
    <w:name w:val="Heading 5"/>
    <w:basedOn w:val="931"/>
    <w:next w:val="931"/>
    <w:link w:val="944"/>
    <w:uiPriority w:val="9"/>
    <w:semiHidden/>
    <w:unhideWhenUsed/>
    <w:qFormat/>
    <w:pPr>
      <w:keepLines/>
      <w:keepNext/>
      <w:spacing w:before="20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936">
    <w:name w:val="Heading 6"/>
    <w:basedOn w:val="931"/>
    <w:next w:val="931"/>
    <w:link w:val="945"/>
    <w:uiPriority w:val="9"/>
    <w:unhideWhenUsed/>
    <w:qFormat/>
    <w:pPr>
      <w:jc w:val="both"/>
      <w:keepLines/>
      <w:keepNext/>
      <w:spacing w:before="20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937">
    <w:name w:val="Heading 8"/>
    <w:basedOn w:val="931"/>
    <w:next w:val="931"/>
    <w:link w:val="946"/>
    <w:uiPriority w:val="9"/>
    <w:semiHidden/>
    <w:unhideWhenUsed/>
    <w:qFormat/>
    <w:pPr>
      <w:keepLines/>
      <w:keepNext/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character" w:styleId="938" w:default="1">
    <w:name w:val="Default Paragraph Font"/>
    <w:uiPriority w:val="1"/>
    <w:semiHidden/>
    <w:unhideWhenUsed/>
  </w:style>
  <w:style w:type="table" w:styleId="939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40" w:default="1">
    <w:name w:val="No List"/>
    <w:uiPriority w:val="99"/>
    <w:semiHidden/>
    <w:unhideWhenUsed/>
  </w:style>
  <w:style w:type="character" w:styleId="941" w:customStyle="1">
    <w:name w:val="Заголовок 1 Знак"/>
    <w:basedOn w:val="938"/>
    <w:link w:val="932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942" w:customStyle="1">
    <w:name w:val="Заголовок 2 Знак"/>
    <w:basedOn w:val="938"/>
    <w:link w:val="93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</w:rPr>
  </w:style>
  <w:style w:type="character" w:styleId="943" w:customStyle="1">
    <w:name w:val="Заголовок 4 Знак"/>
    <w:basedOn w:val="938"/>
    <w:link w:val="934"/>
    <w:semiHidden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944" w:customStyle="1">
    <w:name w:val="Заголовок 5 Знак"/>
    <w:basedOn w:val="938"/>
    <w:link w:val="935"/>
    <w:uiPriority w:val="9"/>
    <w:semiHidden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eastAsia="ru-RU"/>
    </w:rPr>
  </w:style>
  <w:style w:type="character" w:styleId="945" w:customStyle="1">
    <w:name w:val="Заголовок 6 Знак"/>
    <w:basedOn w:val="938"/>
    <w:link w:val="936"/>
    <w:uiPriority w:val="9"/>
    <w:rPr>
      <w:rFonts w:asciiTheme="majorHAnsi" w:hAnsiTheme="majorHAnsi" w:eastAsiaTheme="majorEastAsia" w:cstheme="majorBidi"/>
      <w:i/>
      <w:iCs/>
      <w:color w:val="243f60" w:themeColor="accent1" w:themeShade="7F"/>
      <w:sz w:val="24"/>
      <w:szCs w:val="24"/>
      <w:lang w:eastAsia="ru-RU"/>
    </w:rPr>
  </w:style>
  <w:style w:type="character" w:styleId="946" w:customStyle="1">
    <w:name w:val="Заголовок 8 Знак"/>
    <w:basedOn w:val="938"/>
    <w:link w:val="937"/>
    <w:uiPriority w:val="9"/>
    <w:semiHidden/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ru-RU"/>
    </w:rPr>
  </w:style>
  <w:style w:type="paragraph" w:styleId="947">
    <w:name w:val="Date"/>
    <w:basedOn w:val="931"/>
    <w:next w:val="931"/>
    <w:link w:val="948"/>
    <w:uiPriority w:val="99"/>
    <w:pPr>
      <w:jc w:val="both"/>
      <w:spacing w:after="60"/>
    </w:pPr>
    <w:rPr>
      <w:szCs w:val="20"/>
    </w:rPr>
  </w:style>
  <w:style w:type="character" w:styleId="948" w:customStyle="1">
    <w:name w:val="Дата Знак"/>
    <w:basedOn w:val="938"/>
    <w:link w:val="947"/>
    <w:uiPriority w:val="99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49" w:customStyle="1">
    <w:name w:val="Обратный адрес"/>
    <w:basedOn w:val="931"/>
    <w:pPr>
      <w:jc w:val="center"/>
    </w:pPr>
    <w:rPr>
      <w:rFonts w:ascii="Garamond" w:hAnsi="Garamond"/>
      <w:spacing w:val="-3"/>
      <w:sz w:val="20"/>
      <w:szCs w:val="20"/>
      <w:lang w:eastAsia="en-US"/>
    </w:rPr>
  </w:style>
  <w:style w:type="paragraph" w:styleId="950">
    <w:name w:val="Header"/>
    <w:basedOn w:val="931"/>
    <w:link w:val="95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51" w:customStyle="1">
    <w:name w:val="Верхний колонтитул Знак"/>
    <w:basedOn w:val="938"/>
    <w:link w:val="95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52">
    <w:name w:val="Footer"/>
    <w:basedOn w:val="931"/>
    <w:link w:val="953"/>
    <w:unhideWhenUsed/>
    <w:pPr>
      <w:tabs>
        <w:tab w:val="center" w:pos="4677" w:leader="none"/>
        <w:tab w:val="right" w:pos="9355" w:leader="none"/>
      </w:tabs>
    </w:pPr>
  </w:style>
  <w:style w:type="character" w:styleId="953" w:customStyle="1">
    <w:name w:val="Нижний колонтитул Знак"/>
    <w:basedOn w:val="938"/>
    <w:link w:val="95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54">
    <w:name w:val="page number"/>
    <w:basedOn w:val="938"/>
    <w:uiPriority w:val="99"/>
    <w:rPr>
      <w:rFonts w:ascii="Times New Roman" w:hAnsi="Times New Roman" w:cs="Times New Roman"/>
    </w:rPr>
  </w:style>
  <w:style w:type="character" w:styleId="955">
    <w:name w:val="Hyperlink"/>
    <w:basedOn w:val="938"/>
    <w:uiPriority w:val="99"/>
    <w:rPr>
      <w:rFonts w:cs="Times New Roman"/>
      <w:color w:val="0000ff"/>
      <w:u w:val="single"/>
    </w:rPr>
  </w:style>
  <w:style w:type="paragraph" w:styleId="956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57" w:customStyle="1">
    <w:name w:val="apple-converted-space"/>
    <w:basedOn w:val="938"/>
  </w:style>
  <w:style w:type="paragraph" w:styleId="958">
    <w:name w:val="List Paragraph"/>
    <w:basedOn w:val="931"/>
    <w:link w:val="959"/>
    <w:uiPriority w:val="34"/>
    <w:qFormat/>
    <w:pPr>
      <w:contextualSpacing/>
      <w:ind w:left="720"/>
    </w:pPr>
  </w:style>
  <w:style w:type="character" w:styleId="959" w:customStyle="1">
    <w:name w:val="Абзац списка Знак"/>
    <w:link w:val="958"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60">
    <w:name w:val="Body Text"/>
    <w:basedOn w:val="931"/>
    <w:link w:val="961"/>
    <w:pPr>
      <w:jc w:val="both"/>
    </w:pPr>
    <w:rPr>
      <w:lang w:eastAsia="ar-SA"/>
    </w:rPr>
  </w:style>
  <w:style w:type="character" w:styleId="961" w:customStyle="1">
    <w:name w:val="Основной текст Знак"/>
    <w:basedOn w:val="938"/>
    <w:link w:val="960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962">
    <w:name w:val="Body Text Indent"/>
    <w:basedOn w:val="931"/>
    <w:link w:val="963"/>
    <w:pPr>
      <w:ind w:left="283"/>
      <w:spacing w:after="120"/>
    </w:pPr>
    <w:rPr>
      <w:lang w:eastAsia="ar-SA"/>
    </w:rPr>
  </w:style>
  <w:style w:type="character" w:styleId="963" w:customStyle="1">
    <w:name w:val="Основной текст с отступом Знак"/>
    <w:basedOn w:val="938"/>
    <w:link w:val="962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964">
    <w:name w:val="Title"/>
    <w:basedOn w:val="931"/>
    <w:link w:val="965"/>
    <w:qFormat/>
    <w:pPr>
      <w:jc w:val="center"/>
    </w:pPr>
    <w:rPr>
      <w:b/>
      <w:bCs/>
    </w:rPr>
  </w:style>
  <w:style w:type="character" w:styleId="965" w:customStyle="1">
    <w:name w:val="Название Знак"/>
    <w:basedOn w:val="938"/>
    <w:link w:val="964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966" w:customStyle="1">
    <w:name w:val="Основной текст 21"/>
    <w:basedOn w:val="931"/>
    <w:pPr>
      <w:ind w:firstLine="851"/>
      <w:jc w:val="both"/>
    </w:pPr>
    <w:rPr>
      <w:szCs w:val="20"/>
    </w:rPr>
  </w:style>
  <w:style w:type="paragraph" w:styleId="967" w:customStyle="1">
    <w:name w:val="ConsPlusNormal"/>
    <w:link w:val="968"/>
    <w:uiPriority w:val="99"/>
    <w:qFormat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968" w:customStyle="1">
    <w:name w:val="ConsPlusNormal Знак"/>
    <w:link w:val="967"/>
    <w:uiPriority w:val="99"/>
    <w:rPr>
      <w:rFonts w:ascii="Arial" w:hAnsi="Arial" w:eastAsia="Times New Roman" w:cs="Arial"/>
      <w:sz w:val="20"/>
      <w:szCs w:val="20"/>
      <w:lang w:eastAsia="ru-RU"/>
    </w:rPr>
  </w:style>
  <w:style w:type="paragraph" w:styleId="969">
    <w:name w:val="Body Text 3"/>
    <w:basedOn w:val="931"/>
    <w:link w:val="970"/>
    <w:unhideWhenUsed/>
    <w:pPr>
      <w:spacing w:after="120"/>
    </w:pPr>
    <w:rPr>
      <w:sz w:val="16"/>
      <w:szCs w:val="16"/>
    </w:rPr>
  </w:style>
  <w:style w:type="character" w:styleId="970" w:customStyle="1">
    <w:name w:val="Основной текст 3 Знак"/>
    <w:basedOn w:val="938"/>
    <w:link w:val="969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971" w:customStyle="1">
    <w:name w:val="Стиль1"/>
    <w:basedOn w:val="931"/>
    <w:pPr>
      <w:ind w:left="432" w:hanging="432"/>
      <w:keepLines/>
      <w:keepNext/>
      <w:spacing w:after="60"/>
      <w:widowControl w:val="off"/>
      <w:tabs>
        <w:tab w:val="num" w:pos="432" w:leader="none"/>
      </w:tabs>
      <w:suppressLineNumbers/>
    </w:pPr>
    <w:rPr>
      <w:b/>
      <w:sz w:val="28"/>
    </w:rPr>
  </w:style>
  <w:style w:type="paragraph" w:styleId="972" w:customStyle="1">
    <w:name w:val="Стиль3"/>
    <w:basedOn w:val="973"/>
    <w:pPr>
      <w:ind w:left="900"/>
      <w:jc w:val="both"/>
      <w:spacing w:after="0" w:line="240" w:lineRule="auto"/>
      <w:widowControl w:val="off"/>
      <w:tabs>
        <w:tab w:val="num" w:pos="1127" w:leader="none"/>
      </w:tabs>
    </w:pPr>
    <w:rPr>
      <w:szCs w:val="20"/>
    </w:rPr>
  </w:style>
  <w:style w:type="paragraph" w:styleId="973">
    <w:name w:val="Body Text Indent 2"/>
    <w:basedOn w:val="931"/>
    <w:link w:val="974"/>
    <w:uiPriority w:val="99"/>
    <w:unhideWhenUsed/>
    <w:pPr>
      <w:ind w:left="283"/>
      <w:spacing w:after="120" w:line="480" w:lineRule="auto"/>
    </w:pPr>
  </w:style>
  <w:style w:type="character" w:styleId="974" w:customStyle="1">
    <w:name w:val="Основной текст с отступом 2 Знак"/>
    <w:basedOn w:val="938"/>
    <w:link w:val="973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75" w:customStyle="1">
    <w:name w:val="Plain Text Знак"/>
    <w:link w:val="976"/>
    <w:rPr>
      <w:rFonts w:ascii="Courier New" w:hAnsi="Courier New" w:cs="Courier New"/>
    </w:rPr>
  </w:style>
  <w:style w:type="paragraph" w:styleId="976" w:customStyle="1">
    <w:name w:val="Текст1"/>
    <w:basedOn w:val="931"/>
    <w:link w:val="975"/>
    <w:rPr>
      <w:rFonts w:ascii="Courier New" w:hAnsi="Courier New" w:cs="Courier New" w:eastAsiaTheme="minorHAnsi"/>
      <w:sz w:val="22"/>
      <w:szCs w:val="22"/>
      <w:lang w:eastAsia="en-US"/>
    </w:rPr>
  </w:style>
  <w:style w:type="table" w:styleId="977">
    <w:name w:val="Table Grid"/>
    <w:basedOn w:val="939"/>
    <w:uiPriority w:val="3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78" w:customStyle="1">
    <w:name w:val="mw-headline"/>
    <w:basedOn w:val="938"/>
  </w:style>
  <w:style w:type="character" w:styleId="979" w:customStyle="1">
    <w:name w:val="mw-editsection"/>
    <w:basedOn w:val="938"/>
  </w:style>
  <w:style w:type="character" w:styleId="980" w:customStyle="1">
    <w:name w:val="mw-editsection-bracket"/>
    <w:basedOn w:val="938"/>
  </w:style>
  <w:style w:type="character" w:styleId="981" w:customStyle="1">
    <w:name w:val="Текст выноски Знак"/>
    <w:basedOn w:val="938"/>
    <w:link w:val="982"/>
    <w:uiPriority w:val="99"/>
    <w:semiHidden/>
    <w:rPr>
      <w:rFonts w:ascii="Tahoma" w:hAnsi="Tahoma" w:eastAsia="Calibri" w:cs="Tahoma"/>
      <w:sz w:val="16"/>
      <w:szCs w:val="16"/>
    </w:rPr>
  </w:style>
  <w:style w:type="paragraph" w:styleId="982">
    <w:name w:val="Balloon Text"/>
    <w:basedOn w:val="931"/>
    <w:link w:val="981"/>
    <w:uiPriority w:val="99"/>
    <w:semiHidden/>
    <w:unhideWhenUsed/>
    <w:rPr>
      <w:rFonts w:ascii="Tahoma" w:hAnsi="Tahoma" w:eastAsia="Calibri" w:cs="Tahoma"/>
      <w:sz w:val="16"/>
      <w:szCs w:val="16"/>
      <w:lang w:eastAsia="en-US"/>
    </w:rPr>
  </w:style>
  <w:style w:type="character" w:styleId="983" w:customStyle="1">
    <w:name w:val="Font Style13"/>
    <w:rPr>
      <w:rFonts w:ascii="Times New Roman" w:hAnsi="Times New Roman"/>
      <w:sz w:val="24"/>
    </w:rPr>
  </w:style>
  <w:style w:type="paragraph" w:styleId="984">
    <w:name w:val="Body Text 2"/>
    <w:basedOn w:val="931"/>
    <w:link w:val="985"/>
    <w:uiPriority w:val="99"/>
    <w:semiHidden/>
    <w:unhideWhenUsed/>
    <w:pPr>
      <w:spacing w:after="120" w:line="480" w:lineRule="auto"/>
    </w:pPr>
  </w:style>
  <w:style w:type="character" w:styleId="985" w:customStyle="1">
    <w:name w:val="Основной текст 2 Знак"/>
    <w:basedOn w:val="938"/>
    <w:link w:val="984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86" w:customStyle="1">
    <w:name w:val="Прижатый влево"/>
    <w:basedOn w:val="931"/>
    <w:next w:val="931"/>
    <w:uiPriority w:val="99"/>
    <w:pPr>
      <w:widowControl w:val="off"/>
    </w:pPr>
    <w:rPr>
      <w:rFonts w:ascii="Arial" w:hAnsi="Arial" w:cs="Arial"/>
    </w:rPr>
  </w:style>
  <w:style w:type="character" w:styleId="987" w:customStyle="1">
    <w:name w:val="Название Знак1"/>
    <w:rPr>
      <w:rFonts w:ascii="Times New Roman" w:hAnsi="Times New Roman" w:eastAsia="Times New Roman"/>
      <w:b/>
      <w:sz w:val="30"/>
      <w:szCs w:val="28"/>
    </w:rPr>
  </w:style>
  <w:style w:type="paragraph" w:styleId="988" w:customStyle="1">
    <w:name w:val="xl65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89" w:customStyle="1">
    <w:name w:val="xl66"/>
    <w:basedOn w:val="931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0" w:customStyle="1">
    <w:name w:val="xl67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1" w:customStyle="1">
    <w:name w:val="xl68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2" w:customStyle="1">
    <w:name w:val="xl69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993" w:customStyle="1">
    <w:name w:val="xl70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994" w:customStyle="1">
    <w:name w:val="xl71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5" w:customStyle="1">
    <w:name w:val="xl72"/>
    <w:basedOn w:val="931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996" w:customStyle="1">
    <w:name w:val="xl73"/>
    <w:basedOn w:val="931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7" w:customStyle="1">
    <w:name w:val="xl74"/>
    <w:basedOn w:val="931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8" w:customStyle="1">
    <w:name w:val="xl75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999" w:customStyle="1">
    <w:name w:val="xl76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8"/>
      <w:szCs w:val="18"/>
    </w:rPr>
  </w:style>
  <w:style w:type="paragraph" w:styleId="1000" w:customStyle="1">
    <w:name w:val="xl77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1" w:customStyle="1">
    <w:name w:val="xl78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2" w:customStyle="1">
    <w:name w:val="xl79"/>
    <w:basedOn w:val="931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3" w:customStyle="1">
    <w:name w:val="xl80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4" w:customStyle="1">
    <w:name w:val="xl81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5" w:customStyle="1">
    <w:name w:val="xl82"/>
    <w:basedOn w:val="931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06" w:customStyle="1">
    <w:name w:val="xl83"/>
    <w:basedOn w:val="93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7" w:customStyle="1">
    <w:name w:val="xl84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08" w:customStyle="1">
    <w:name w:val="xl85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09" w:customStyle="1">
    <w:name w:val="xl86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10" w:customStyle="1">
    <w:name w:val="xl87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</w:style>
  <w:style w:type="paragraph" w:styleId="1011" w:customStyle="1">
    <w:name w:val="xl88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12" w:customStyle="1">
    <w:name w:val="xl89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13" w:customStyle="1">
    <w:name w:val="xl90"/>
    <w:basedOn w:val="931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14" w:customStyle="1">
    <w:name w:val="xl91"/>
    <w:basedOn w:val="931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15" w:customStyle="1">
    <w:name w:val="xl92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16" w:customStyle="1">
    <w:name w:val="xl93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17" w:customStyle="1">
    <w:name w:val="xl94"/>
    <w:basedOn w:val="931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18" w:customStyle="1">
    <w:name w:val="xl95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19" w:customStyle="1">
    <w:name w:val="xl96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20" w:customStyle="1">
    <w:name w:val="xl97"/>
    <w:basedOn w:val="931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21" w:customStyle="1">
    <w:name w:val="xl98"/>
    <w:basedOn w:val="931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22" w:customStyle="1">
    <w:name w:val="xl99"/>
    <w:basedOn w:val="931"/>
    <w:pPr>
      <w:spacing w:before="100" w:beforeAutospacing="1" w:after="100" w:afterAutospacing="1"/>
    </w:pPr>
    <w:rPr>
      <w:color w:val="000000"/>
      <w:sz w:val="18"/>
      <w:szCs w:val="18"/>
    </w:rPr>
  </w:style>
  <w:style w:type="paragraph" w:styleId="1023" w:customStyle="1">
    <w:name w:val="xl100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24" w:customStyle="1">
    <w:name w:val="xl101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25" w:customStyle="1">
    <w:name w:val="xl102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26" w:customStyle="1">
    <w:name w:val="xl103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27" w:customStyle="1">
    <w:name w:val="xl104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28" w:customStyle="1">
    <w:name w:val="xl105"/>
    <w:basedOn w:val="931"/>
    <w:pPr>
      <w:jc w:val="center"/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styleId="1029" w:customStyle="1">
    <w:name w:val="xl106"/>
    <w:basedOn w:val="931"/>
    <w:pPr>
      <w:jc w:val="center"/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styleId="1030" w:customStyle="1">
    <w:name w:val="xl107"/>
    <w:basedOn w:val="931"/>
    <w:pPr>
      <w:jc w:val="center"/>
      <w:spacing w:before="100" w:beforeAutospacing="1" w:after="100" w:afterAutospacing="1"/>
    </w:pPr>
    <w:rPr>
      <w:color w:val="000000"/>
      <w:sz w:val="18"/>
      <w:szCs w:val="18"/>
    </w:rPr>
  </w:style>
  <w:style w:type="paragraph" w:styleId="1031" w:customStyle="1">
    <w:name w:val="xl108"/>
    <w:basedOn w:val="931"/>
    <w:pPr>
      <w:jc w:val="center"/>
      <w:spacing w:before="100" w:beforeAutospacing="1" w:after="100" w:afterAutospacing="1"/>
    </w:pPr>
    <w:rPr>
      <w:color w:val="000000"/>
      <w:sz w:val="18"/>
      <w:szCs w:val="18"/>
    </w:rPr>
  </w:style>
  <w:style w:type="paragraph" w:styleId="1032" w:customStyle="1">
    <w:name w:val="xl109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33" w:customStyle="1">
    <w:name w:val="xl110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34" w:customStyle="1">
    <w:name w:val="xl111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8"/>
      <w:szCs w:val="18"/>
    </w:rPr>
  </w:style>
  <w:style w:type="paragraph" w:styleId="1035" w:customStyle="1">
    <w:name w:val="xl112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36" w:customStyle="1">
    <w:name w:val="xl113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</w:rPr>
  </w:style>
  <w:style w:type="paragraph" w:styleId="1037" w:customStyle="1">
    <w:name w:val="xl114"/>
    <w:basedOn w:val="931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color w:val="000000"/>
    </w:rPr>
  </w:style>
  <w:style w:type="paragraph" w:styleId="1038" w:customStyle="1">
    <w:name w:val="xl115"/>
    <w:basedOn w:val="931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</w:rPr>
  </w:style>
  <w:style w:type="paragraph" w:styleId="1039">
    <w:name w:val="Normal (Web)"/>
    <w:basedOn w:val="931"/>
    <w:uiPriority w:val="99"/>
    <w:unhideWhenUsed/>
    <w:pPr>
      <w:spacing w:before="100" w:beforeAutospacing="1" w:after="100" w:afterAutospacing="1"/>
    </w:pPr>
  </w:style>
  <w:style w:type="character" w:styleId="1040" w:customStyle="1">
    <w:name w:val="Основной текст (2)_"/>
    <w:link w:val="1041"/>
    <w:uiPriority w:val="99"/>
    <w:rPr>
      <w:shd w:val="clear" w:color="auto" w:fill="ffffff"/>
    </w:rPr>
  </w:style>
  <w:style w:type="paragraph" w:styleId="1041" w:customStyle="1">
    <w:name w:val="Основной текст (2)"/>
    <w:basedOn w:val="931"/>
    <w:link w:val="1040"/>
    <w:uiPriority w:val="99"/>
    <w:pPr>
      <w:ind w:hanging="340"/>
      <w:jc w:val="center"/>
      <w:spacing w:after="240" w:line="254" w:lineRule="exact"/>
      <w:shd w:val="clear" w:color="auto" w:fill="ffffff"/>
      <w:widowControl w:val="off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1042">
    <w:name w:val="Plain Text"/>
    <w:basedOn w:val="931"/>
    <w:link w:val="1043"/>
    <w:uiPriority w:val="99"/>
    <w:rPr>
      <w:rFonts w:ascii="Courier New" w:hAnsi="Courier New" w:cs="Courier New"/>
      <w:sz w:val="20"/>
      <w:szCs w:val="20"/>
    </w:rPr>
  </w:style>
  <w:style w:type="character" w:styleId="1043" w:customStyle="1">
    <w:name w:val="Текст Знак"/>
    <w:basedOn w:val="938"/>
    <w:link w:val="1042"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1044" w:customStyle="1">
    <w:name w:val="Font Style22"/>
    <w:basedOn w:val="938"/>
    <w:uiPriority w:val="99"/>
    <w:rPr>
      <w:rFonts w:ascii="Times New Roman" w:hAnsi="Times New Roman" w:cs="Times New Roman"/>
      <w:sz w:val="20"/>
      <w:szCs w:val="20"/>
    </w:rPr>
  </w:style>
  <w:style w:type="paragraph" w:styleId="1045" w:customStyle="1">
    <w:name w:val="ConsPlusCell"/>
    <w:uiPriority w:val="99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1046" w:customStyle="1">
    <w:name w:val="consplusnonformat"/>
    <w:basedOn w:val="931"/>
    <w:uiPriority w:val="99"/>
    <w:rPr>
      <w:rFonts w:ascii="Courier New" w:hAnsi="Courier New" w:cs="Courier New"/>
      <w:sz w:val="20"/>
      <w:szCs w:val="20"/>
    </w:rPr>
  </w:style>
  <w:style w:type="character" w:styleId="1047">
    <w:name w:val="Strong"/>
    <w:qFormat/>
    <w:rPr>
      <w:rFonts w:cs="Times New Roman"/>
      <w:b/>
    </w:rPr>
  </w:style>
  <w:style w:type="paragraph" w:styleId="1048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1049" w:customStyle="1">
    <w:name w:val="Style3"/>
    <w:basedOn w:val="931"/>
    <w:uiPriority w:val="99"/>
    <w:pPr>
      <w:ind w:firstLine="706"/>
      <w:jc w:val="both"/>
      <w:spacing w:line="250" w:lineRule="exact"/>
      <w:widowControl w:val="off"/>
    </w:pPr>
  </w:style>
  <w:style w:type="paragraph" w:styleId="1050" w:customStyle="1">
    <w:name w:val="Style20"/>
    <w:basedOn w:val="931"/>
    <w:uiPriority w:val="99"/>
    <w:pPr>
      <w:spacing w:line="288" w:lineRule="exact"/>
      <w:widowControl w:val="off"/>
    </w:pPr>
  </w:style>
  <w:style w:type="character" w:styleId="1051">
    <w:name w:val="Emphasis"/>
    <w:basedOn w:val="938"/>
    <w:qFormat/>
    <w:rPr>
      <w:i/>
      <w:iCs/>
    </w:rPr>
  </w:style>
  <w:style w:type="character" w:styleId="1052" w:customStyle="1">
    <w:name w:val="techname"/>
    <w:basedOn w:val="938"/>
  </w:style>
  <w:style w:type="character" w:styleId="1053" w:customStyle="1">
    <w:name w:val="apple-style-span"/>
    <w:basedOn w:val="938"/>
    <w:rPr>
      <w:rFonts w:hint="default" w:ascii="Times New Roman" w:hAnsi="Times New Roman" w:cs="Times New Roman"/>
    </w:rPr>
  </w:style>
  <w:style w:type="paragraph" w:styleId="1054" w:customStyle="1">
    <w:name w:val="обычный"/>
    <w:basedOn w:val="931"/>
    <w:rPr>
      <w:color w:val="000000"/>
      <w:sz w:val="20"/>
      <w:szCs w:val="20"/>
    </w:rPr>
  </w:style>
  <w:style w:type="character" w:styleId="1055" w:customStyle="1">
    <w:name w:val="Font Style15"/>
    <w:rPr>
      <w:rFonts w:ascii="Times New Roman" w:hAnsi="Times New Roman" w:cs="Times New Roman"/>
      <w:b/>
      <w:bCs/>
      <w:sz w:val="22"/>
      <w:szCs w:val="22"/>
    </w:rPr>
  </w:style>
  <w:style w:type="character" w:styleId="1056" w:customStyle="1">
    <w:name w:val="Font Style16"/>
    <w:rPr>
      <w:rFonts w:ascii="Times New Roman" w:hAnsi="Times New Roman" w:cs="Times New Roman"/>
      <w:sz w:val="22"/>
      <w:szCs w:val="22"/>
    </w:rPr>
  </w:style>
  <w:style w:type="paragraph" w:styleId="1057" w:customStyle="1">
    <w:name w:val="Style9"/>
    <w:basedOn w:val="931"/>
    <w:pPr>
      <w:spacing w:line="226" w:lineRule="exact"/>
      <w:widowControl w:val="off"/>
    </w:pPr>
  </w:style>
  <w:style w:type="paragraph" w:styleId="1058" w:customStyle="1">
    <w:name w:val="Style2"/>
    <w:basedOn w:val="931"/>
    <w:pPr>
      <w:jc w:val="center"/>
      <w:spacing w:line="259" w:lineRule="exact"/>
      <w:widowControl w:val="off"/>
    </w:pPr>
  </w:style>
  <w:style w:type="character" w:styleId="1059" w:customStyle="1">
    <w:name w:val="Font Style11"/>
    <w:rPr>
      <w:rFonts w:hint="default" w:ascii="Times New Roman" w:hAnsi="Times New Roman" w:cs="Times New Roman"/>
      <w:b/>
      <w:bCs/>
      <w:sz w:val="22"/>
      <w:szCs w:val="22"/>
    </w:rPr>
  </w:style>
  <w:style w:type="paragraph" w:styleId="1060" w:customStyle="1">
    <w:name w:val="Основной текст с отступом 32"/>
    <w:basedOn w:val="931"/>
    <w:uiPriority w:val="99"/>
    <w:pPr>
      <w:ind w:firstLine="567"/>
      <w:jc w:val="both"/>
    </w:pPr>
    <w:rPr>
      <w:rFonts w:eastAsia="Calibri"/>
      <w:szCs w:val="20"/>
      <w:lang w:eastAsia="ar-SA"/>
    </w:rPr>
  </w:style>
  <w:style w:type="paragraph" w:styleId="1061" w:customStyle="1">
    <w:name w:val="Основной текст с отступом 21"/>
    <w:basedOn w:val="931"/>
    <w:pPr>
      <w:ind w:firstLine="709"/>
      <w:jc w:val="both"/>
      <w:spacing w:before="120" w:line="360" w:lineRule="auto"/>
    </w:pPr>
    <w:rPr>
      <w:rFonts w:ascii="Arial" w:hAnsi="Arial" w:cs="Arial"/>
      <w:szCs w:val="20"/>
      <w:lang w:eastAsia="ar-SA"/>
    </w:rPr>
  </w:style>
  <w:style w:type="paragraph" w:styleId="1062" w:customStyle="1">
    <w:name w:val="Preformat"/>
    <w:pPr>
      <w:spacing w:after="0" w:line="240" w:lineRule="auto"/>
      <w:widowControl w:val="off"/>
    </w:pPr>
    <w:rPr>
      <w:rFonts w:ascii="Courier New" w:hAnsi="Courier New" w:eastAsia="Times New Roman" w:cs="Times New Roman"/>
      <w:sz w:val="20"/>
      <w:szCs w:val="20"/>
      <w:lang w:eastAsia="ru-RU"/>
    </w:rPr>
  </w:style>
  <w:style w:type="paragraph" w:styleId="1063" w:customStyle="1">
    <w:name w:val="Heading"/>
    <w:pPr>
      <w:spacing w:after="0" w:line="240" w:lineRule="auto"/>
      <w:widowControl w:val="off"/>
    </w:pPr>
    <w:rPr>
      <w:rFonts w:ascii="Arial" w:hAnsi="Arial" w:eastAsia="Times New Roman" w:cs="Times New Roman"/>
      <w:b/>
      <w:sz w:val="20"/>
      <w:szCs w:val="20"/>
      <w:lang w:eastAsia="ru-RU"/>
    </w:rPr>
  </w:style>
  <w:style w:type="paragraph" w:styleId="1064" w:customStyle="1">
    <w:name w:val="Без интервала1"/>
    <w:pPr>
      <w:spacing w:after="0" w:line="240" w:lineRule="auto"/>
    </w:pPr>
    <w:rPr>
      <w:rFonts w:ascii="Calibri" w:hAnsi="Calibri" w:eastAsia="Calibri" w:cs="Times New Roman"/>
      <w:lang w:eastAsia="ru-RU"/>
    </w:rPr>
  </w:style>
  <w:style w:type="character" w:styleId="1065" w:customStyle="1">
    <w:name w:val="ConsNormal Знак"/>
    <w:link w:val="1066"/>
    <w:rPr>
      <w:rFonts w:ascii="Arial" w:hAnsi="Arial" w:cs="Arial"/>
    </w:rPr>
  </w:style>
  <w:style w:type="paragraph" w:styleId="1066" w:customStyle="1">
    <w:name w:val="ConsNormal"/>
    <w:link w:val="1065"/>
    <w:pPr>
      <w:ind w:firstLine="720"/>
      <w:spacing w:after="0" w:line="240" w:lineRule="auto"/>
      <w:widowControl w:val="off"/>
    </w:pPr>
    <w:rPr>
      <w:rFonts w:ascii="Arial" w:hAnsi="Arial" w:cs="Arial"/>
    </w:rPr>
  </w:style>
  <w:style w:type="paragraph" w:styleId="1067" w:customStyle="1">
    <w:name w:val="Без интервала2"/>
    <w:pPr>
      <w:jc w:val="both"/>
      <w:spacing w:after="0" w:line="240" w:lineRule="auto"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1068" w:customStyle="1">
    <w:name w:val="ConsPlusDocLis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1069" w:customStyle="1">
    <w:name w:val="Основной текст_"/>
    <w:link w:val="1070"/>
    <w:uiPriority w:val="99"/>
    <w:rPr>
      <w:spacing w:val="6"/>
      <w:sz w:val="21"/>
      <w:shd w:val="clear" w:color="auto" w:fill="ffffff"/>
    </w:rPr>
  </w:style>
  <w:style w:type="paragraph" w:styleId="1070" w:customStyle="1">
    <w:name w:val="Основной текст1"/>
    <w:basedOn w:val="931"/>
    <w:link w:val="1069"/>
    <w:uiPriority w:val="99"/>
    <w:pPr>
      <w:jc w:val="both"/>
      <w:spacing w:before="300" w:after="300" w:line="240" w:lineRule="atLeast"/>
      <w:shd w:val="clear" w:color="auto" w:fill="ffffff"/>
      <w:widowControl w:val="off"/>
    </w:pPr>
    <w:rPr>
      <w:rFonts w:asciiTheme="minorHAnsi" w:hAnsiTheme="minorHAnsi" w:eastAsiaTheme="minorHAnsi" w:cstheme="minorBidi"/>
      <w:spacing w:val="6"/>
      <w:sz w:val="21"/>
      <w:szCs w:val="22"/>
      <w:lang w:eastAsia="en-US"/>
    </w:rPr>
  </w:style>
  <w:style w:type="paragraph" w:styleId="1071" w:customStyle="1">
    <w:name w:val="Àáçàö"/>
    <w:basedOn w:val="931"/>
    <w:uiPriority w:val="99"/>
    <w:pPr>
      <w:ind w:firstLine="567"/>
      <w:jc w:val="both"/>
    </w:pPr>
    <w:rPr>
      <w:rFonts w:ascii="TimesDL" w:hAnsi="TimesDL" w:eastAsia="Calibri"/>
      <w:szCs w:val="20"/>
      <w:lang w:val="en-GB"/>
    </w:rPr>
  </w:style>
  <w:style w:type="paragraph" w:styleId="1072" w:customStyle="1">
    <w:name w:val="Абзац списка,Bullet List,FooterText,numbered,List Paragraph1"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1073" w:customStyle="1">
    <w:name w:val="Обычный (веб)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074" w:customStyle="1">
    <w:name w:val="Preformatted"/>
    <w:basedOn w:val="852"/>
    <w:link w:val="924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tabs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yperlink" Target="http://www.zakupki.gov.ru/223" TargetMode="External"/><Relationship Id="rId13" Type="http://schemas.openxmlformats.org/officeDocument/2006/relationships/hyperlink" Target="http://www.zakupki.gov.ru/223" TargetMode="External"/><Relationship Id="rId14" Type="http://schemas.openxmlformats.org/officeDocument/2006/relationships/hyperlink" Target="consultantplus://offline/ref=6AE81C291AEDBF2645E923D219A663E49CB1CA3F7D6A857ED8EABAC9D95EB60B0F296E2D9871F565V5hBD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Лабытнанги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S2011u</dc:creator>
  <cp:lastModifiedBy>pc-080-68u</cp:lastModifiedBy>
  <cp:revision>109</cp:revision>
  <dcterms:created xsi:type="dcterms:W3CDTF">2021-12-02T05:28:00Z</dcterms:created>
  <dcterms:modified xsi:type="dcterms:W3CDTF">2026-09-23T10:36:01Z</dcterms:modified>
</cp:coreProperties>
</file>