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spacing w:after="0" w:line="240" w:lineRule="auto"/>
        <w:jc w:val="center"/>
        <w:rPr>
          <w:rFonts w:ascii="Times New Roman" w:hAnsi="Times New Roman" w:eastAsia="SimSun"/>
          <w:b/>
          <w:bCs/>
          <w:spacing w:val="-1"/>
          <w:lang w:eastAsia="hi-IN" w:bidi="hi-IN"/>
        </w:rPr>
      </w:pPr>
      <w:r>
        <w:rPr>
          <w:rFonts w:ascii="Times New Roman" w:hAnsi="Times New Roman" w:eastAsia="SimSun"/>
          <w:b/>
          <w:bCs/>
          <w:spacing w:val="-1"/>
          <w:lang w:eastAsia="hi-IN" w:bidi="hi-IN"/>
        </w:rPr>
        <w:t xml:space="preserve">Техническое задание</w:t>
      </w:r>
    </w:p>
    <w:p>
      <w:pPr>
        <w:pStyle w:val="Normal"/>
        <w:spacing w:after="0" w:line="240" w:lineRule="auto"/>
        <w:jc w:val="center"/>
        <w:rPr>
          <w:rFonts w:ascii="Times New Roman" w:hAnsi="Times New Roman" w:eastAsia="SimSun"/>
          <w:b/>
          <w:bCs/>
          <w:spacing w:val="-1"/>
          <w:lang w:eastAsia="hi-IN" w:bidi="hi-IN"/>
        </w:rPr>
      </w:pPr>
      <w:r>
        <w:rPr>
          <w:rFonts w:ascii="Times New Roman" w:hAnsi="Times New Roman" w:eastAsia="SimSun"/>
          <w:b/>
          <w:bCs/>
          <w:spacing w:val="-1"/>
          <w:lang w:eastAsia="hi-IN" w:bidi="hi-IN"/>
        </w:rPr>
        <w:t xml:space="preserve">н</w:t>
      </w:r>
      <w:r>
        <w:rPr>
          <w:rFonts w:ascii="Times New Roman" w:hAnsi="Times New Roman" w:eastAsia="SimSun"/>
          <w:b/>
          <w:bCs/>
          <w:spacing w:val="-1"/>
          <w:lang w:eastAsia="hi-IN" w:bidi="hi-IN"/>
        </w:rPr>
        <w:t xml:space="preserve">а </w:t>
      </w:r>
      <w:r>
        <w:rPr>
          <w:rFonts w:ascii="Times New Roman" w:hAnsi="Times New Roman" w:eastAsia="SimSun"/>
          <w:b/>
          <w:bCs/>
          <w:spacing w:val="-1"/>
          <w:lang w:eastAsia="hi-IN" w:bidi="hi-IN"/>
        </w:rPr>
        <w:t xml:space="preserve">поставку </w:t>
      </w:r>
      <w:r>
        <w:rPr>
          <w:rFonts w:ascii="Times New Roman" w:hAnsi="Times New Roman" w:eastAsia="SimSun"/>
          <w:b/>
          <w:bCs/>
          <w:spacing w:val="-1"/>
          <w:lang w:eastAsia="hi-IN" w:bidi="hi-IN"/>
        </w:rPr>
        <w:t xml:space="preserve">оргтехники</w:t>
      </w:r>
      <w:r>
        <w:rPr>
          <w:rFonts w:ascii="Times New Roman" w:hAnsi="Times New Roman" w:eastAsia="SimSun"/>
          <w:b/>
          <w:bCs/>
          <w:spacing w:val="-1"/>
          <w:lang w:eastAsia="hi-IN" w:bidi="hi-IN"/>
        </w:rPr>
      </w:r>
    </w:p>
    <w:p>
      <w:pPr>
        <w:pStyle w:val="Normal"/>
        <w:spacing w:after="0" w:line="240" w:lineRule="auto"/>
        <w:jc w:val="center"/>
        <w:rPr>
          <w:rFonts w:ascii="Times New Roman" w:hAnsi="Times New Roman" w:eastAsia="SimSun"/>
          <w:b/>
          <w:bCs/>
          <w:spacing w:val="-1"/>
          <w:lang w:eastAsia="hi-IN" w:bidi="hi-IN"/>
        </w:rPr>
      </w:pPr>
      <w:r>
        <w:rPr>
          <w:rFonts w:ascii="Times New Roman" w:hAnsi="Times New Roman" w:eastAsia="SimSun"/>
          <w:b/>
          <w:bCs/>
          <w:spacing w:val="-1"/>
          <w:lang w:eastAsia="hi-IN" w:bidi="hi-IN"/>
        </w:rPr>
      </w:r>
    </w:p>
    <w:tbl>
      <w:tblPr>
        <w:tblW w:w="9815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58"/>
        <w:gridCol w:w="1498"/>
        <w:gridCol w:w="2673"/>
        <w:gridCol w:w="1224"/>
        <w:gridCol w:w="2101"/>
        <w:gridCol w:w="1761"/>
      </w:tblGrid>
      <w:tr>
        <w:trPr>
          <w:trHeight w:val="345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58" w:type="dxa"/>
            <w:vMerge w:val="restart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  <w:t xml:space="preserve">№ п/п</w:t>
            </w: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1498" w:type="dxa"/>
            <w:vMerge w:val="restart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  <w:t xml:space="preserve">Код</w:t>
            </w: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2673" w:type="dxa"/>
            <w:vMerge w:val="restart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  <w:t xml:space="preserve">Наименование</w:t>
            </w: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5086" w:type="dxa"/>
            <w:gridSpan w:val="3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  <w:t xml:space="preserve">Национальный режим</w:t>
            </w: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</w:tr>
      <w:tr>
        <w:trPr>
          <w:trHeight w:val="345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58" w:type="dxa"/>
            <w:vMerge w:val="continue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1498" w:type="dxa"/>
            <w:vMerge w:val="continue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2673" w:type="dxa"/>
            <w:vMerge w:val="continue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1224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  <w:t xml:space="preserve">1875 (Запрет)</w:t>
            </w: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210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  <w:t xml:space="preserve">1875 (Ограничение)</w:t>
            </w: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176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  <w:t xml:space="preserve">1875 (Преимущество)</w:t>
            </w: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</w:tr>
      <w:tr>
        <w:trPr>
          <w:trHeight w:val="630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58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  <w:t xml:space="preserve">1</w:t>
            </w: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1498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  <w:t xml:space="preserve">26.20.15.140</w:t>
            </w: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2673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  <w:t xml:space="preserve">Моноблок</w:t>
            </w: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1224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210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Segoe UI Symbol" w:hAnsi="Segoe UI Symbol" w:eastAsia="SimSun" w:cs="Segoe UI Symbol"/>
                <w:spacing w:val="-1"/>
                <w:lang w:eastAsia="hi-IN" w:bidi="hi-IN"/>
              </w:rPr>
              <w:t xml:space="preserve">✓</w:t>
            </w: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  <w:tc>
          <w:tcPr>
            <w:tcW w:w="1761" w:type="dxa"/>
            <w:textDirection w:val="lrTb"/>
            <w:vAlign w:val="top"/>
          </w:tcPr>
          <w:p>
            <w:pPr>
              <w:pStyle w:val="Normal"/>
              <w:spacing w:after="0" w:line="240" w:lineRule="auto"/>
              <w:jc w:val="center"/>
              <w:rPr>
                <w:rFonts w:ascii="Times New Roman" w:hAnsi="Times New Roman" w:eastAsia="SimSun"/>
                <w:spacing w:val="-1"/>
                <w:lang w:eastAsia="hi-IN" w:bidi="hi-IN"/>
              </w:rPr>
            </w:pPr>
            <w:r>
              <w:rPr>
                <w:rFonts w:ascii="Times New Roman" w:hAnsi="Times New Roman" w:eastAsia="SimSun"/>
                <w:spacing w:val="-1"/>
                <w:lang w:eastAsia="hi-IN" w:bidi="hi-IN"/>
              </w:rPr>
            </w:r>
          </w:p>
        </w:tc>
      </w:tr>
    </w:tbl>
    <w:p>
      <w:pPr>
        <w:pStyle w:val="Normal"/>
        <w:spacing w:after="0" w:line="240" w:lineRule="auto"/>
        <w:rPr>
          <w:rFonts w:ascii="Times New Roman" w:hAnsi="Times New Roman" w:eastAsia="SimSun"/>
          <w:b/>
          <w:bCs/>
          <w:spacing w:val="-1"/>
          <w:lang w:eastAsia="hi-IN" w:bidi="hi-IN"/>
        </w:rPr>
      </w:pPr>
      <w:r>
        <w:rPr>
          <w:rFonts w:ascii="Times New Roman" w:hAnsi="Times New Roman" w:eastAsia="SimSun"/>
          <w:b/>
          <w:bCs/>
          <w:spacing w:val="-1"/>
          <w:lang w:eastAsia="hi-IN" w:bidi="hi-IN"/>
        </w:rPr>
      </w:r>
    </w:p>
    <w:p>
      <w:pPr>
        <w:pStyle w:val="Normal"/>
        <w:widowControl w:val="off"/>
        <w:numPr>
          <w:numId w:val="1"/>
          <w:ilvl w:val="0"/>
        </w:numPr>
        <w:spacing w:after="0" w:line="240" w:lineRule="auto"/>
        <w:rPr>
          <w:rFonts w:ascii="Times New Roman" w:hAnsi="Times New Roman" w:eastAsia="SimSun"/>
          <w:b/>
          <w:bCs/>
          <w:lang w:eastAsia="hi-IN" w:bidi="hi-IN"/>
        </w:rPr>
      </w:pPr>
      <w:r>
        <w:rPr>
          <w:rFonts w:ascii="Times New Roman" w:hAnsi="Times New Roman" w:eastAsia="SimSun"/>
          <w:b/>
          <w:bCs/>
          <w:lang w:eastAsia="hi-IN" w:bidi="hi-IN"/>
        </w:rPr>
        <w:t xml:space="preserve">1. Объект</w:t>
      </w:r>
      <w:r>
        <w:rPr>
          <w:rFonts w:ascii="Times New Roman" w:hAnsi="Times New Roman" w:eastAsia="SimSun"/>
          <w:b/>
          <w:bCs/>
          <w:lang w:eastAsia="hi-IN" w:bidi="hi-IN"/>
        </w:rPr>
        <w:t xml:space="preserve"> закупки:</w:t>
      </w:r>
      <w:r>
        <w:rPr>
          <w:rFonts w:ascii="Times New Roman" w:hAnsi="Times New Roman" w:eastAsia="SimSun"/>
          <w:b/>
          <w:bCs/>
          <w:lang w:eastAsia="hi-IN" w:bidi="hi-IN"/>
        </w:rPr>
      </w:r>
    </w:p>
    <w:p>
      <w:pPr>
        <w:pStyle w:val="Normal"/>
        <w:widowControl w:val="off"/>
        <w:numPr>
          <w:numId w:val="1"/>
          <w:ilvl w:val="0"/>
        </w:numPr>
        <w:spacing w:after="0" w:line="240" w:lineRule="auto"/>
        <w:rPr>
          <w:rFonts w:ascii="Times New Roman" w:hAnsi="Times New Roman" w:eastAsia="SimSun"/>
          <w:lang w:eastAsia="hi-IN" w:bidi="hi-IN"/>
        </w:rPr>
      </w:pPr>
      <w:r>
        <w:rPr>
          <w:rFonts w:ascii="Times New Roman" w:hAnsi="Times New Roman" w:eastAsia="SimSun"/>
          <w:lang w:eastAsia="hi-IN" w:bidi="hi-IN"/>
        </w:rPr>
      </w:r>
    </w:p>
    <w:tbl>
      <w:tblPr>
        <w:tblW w:w="4644" w:type="pct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2344"/>
        <w:gridCol w:w="5057"/>
        <w:gridCol w:w="850"/>
        <w:gridCol w:w="850"/>
      </w:tblGrid>
      <w:tr>
        <w:trPr>
          <w:trHeight w:val="431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709" w:type="dxa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SimSun"/>
                <w:b/>
                <w:bCs/>
                <w:lang w:eastAsia="hi-IN" w:bidi="hi-IN"/>
              </w:rPr>
            </w:pPr>
            <w:r>
              <w:rPr>
                <w:rFonts w:ascii="Times New Roman" w:hAnsi="Times New Roman" w:eastAsia="SimSun"/>
                <w:b/>
                <w:bCs/>
                <w:lang w:eastAsia="hi-IN" w:bidi="hi-IN"/>
              </w:rPr>
              <w:t xml:space="preserve">№ п</w:t>
            </w:r>
            <w:r>
              <w:rPr>
                <w:rFonts w:ascii="Times New Roman" w:hAnsi="Times New Roman" w:eastAsia="SimSun"/>
                <w:b/>
                <w:bCs/>
                <w:lang w:eastAsia="hi-IN" w:bidi="hi-IN"/>
              </w:rPr>
              <w:t xml:space="preserve">/</w:t>
            </w:r>
            <w:r>
              <w:rPr>
                <w:rFonts w:ascii="Times New Roman" w:hAnsi="Times New Roman" w:eastAsia="SimSun"/>
                <w:b/>
                <w:bCs/>
                <w:lang w:eastAsia="hi-IN" w:bidi="hi-IN"/>
              </w:rPr>
              <w:t xml:space="preserve">п</w:t>
            </w:r>
          </w:p>
        </w:tc>
        <w:tc>
          <w:tcPr>
            <w:tcW w:w="2344" w:type="dxa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SimSun"/>
                <w:b/>
                <w:bCs/>
                <w:lang w:eastAsia="hi-IN" w:bidi="hi-IN"/>
              </w:rPr>
            </w:pPr>
            <w:r>
              <w:rPr>
                <w:rFonts w:ascii="Times New Roman" w:hAnsi="Times New Roman" w:eastAsia="SimSun"/>
                <w:b/>
                <w:bCs/>
                <w:lang w:eastAsia="hi-IN" w:bidi="hi-IN"/>
              </w:rPr>
              <w:t xml:space="preserve">Наименование товара</w:t>
            </w:r>
            <w:r>
              <w:rPr>
                <w:rFonts w:ascii="Times New Roman" w:hAnsi="Times New Roman" w:eastAsia="SimSun"/>
                <w:b/>
                <w:bCs/>
                <w:lang w:eastAsia="hi-IN" w:bidi="hi-IN"/>
              </w:rPr>
            </w:r>
          </w:p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SimSun"/>
                <w:lang w:eastAsia="hi-IN" w:bidi="hi-IN"/>
              </w:rPr>
            </w:pPr>
            <w:r>
              <w:rPr>
                <w:rFonts w:ascii="Times New Roman" w:hAnsi="Times New Roman" w:eastAsia="SimSun"/>
                <w:lang w:eastAsia="hi-IN" w:bidi="hi-IN"/>
              </w:rPr>
            </w:r>
          </w:p>
        </w:tc>
        <w:tc>
          <w:tcPr>
            <w:tcW w:w="5057" w:type="dxa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SimSun"/>
                <w:b/>
                <w:bCs/>
                <w:lang w:eastAsia="hi-IN" w:bidi="hi-IN"/>
              </w:rPr>
            </w:pPr>
            <w:r>
              <w:rPr>
                <w:rFonts w:ascii="Times New Roman" w:hAnsi="Times New Roman" w:eastAsia="SimSun"/>
                <w:b/>
                <w:bCs/>
                <w:lang w:eastAsia="hi-IN" w:bidi="hi-IN"/>
              </w:rPr>
              <w:t xml:space="preserve">Характеристика товара</w:t>
            </w:r>
          </w:p>
        </w:tc>
        <w:tc>
          <w:tcPr>
            <w:tcW w:w="850" w:type="dxa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SimSun"/>
                <w:b/>
                <w:bCs/>
                <w:lang w:eastAsia="hi-IN" w:bidi="hi-IN"/>
              </w:rPr>
            </w:pPr>
            <w:r>
              <w:rPr>
                <w:rFonts w:ascii="Times New Roman" w:hAnsi="Times New Roman" w:eastAsia="SimSun"/>
                <w:b/>
                <w:bCs/>
                <w:lang w:eastAsia="hi-IN" w:bidi="hi-IN"/>
              </w:rPr>
              <w:t xml:space="preserve">Ед.изм</w:t>
            </w:r>
            <w:r>
              <w:rPr>
                <w:rFonts w:ascii="Times New Roman" w:hAnsi="Times New Roman" w:eastAsia="SimSun"/>
                <w:b/>
                <w:bCs/>
                <w:lang w:eastAsia="hi-IN" w:bidi="hi-IN"/>
              </w:rPr>
            </w:r>
          </w:p>
        </w:tc>
        <w:tc>
          <w:tcPr>
            <w:tcW w:w="850" w:type="dxa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SimSun"/>
                <w:b/>
                <w:bCs/>
                <w:lang w:eastAsia="hi-IN" w:bidi="hi-IN"/>
              </w:rPr>
            </w:pPr>
            <w:r>
              <w:rPr>
                <w:rFonts w:ascii="Times New Roman" w:hAnsi="Times New Roman" w:eastAsia="SimSun"/>
                <w:b/>
                <w:bCs/>
                <w:lang w:eastAsia="hi-IN" w:bidi="hi-IN"/>
              </w:rPr>
              <w:t xml:space="preserve">Кол-во</w:t>
            </w:r>
            <w:r>
              <w:rPr>
                <w:rFonts w:ascii="Times New Roman" w:hAnsi="Times New Roman" w:eastAsia="SimSun"/>
                <w:b/>
                <w:bCs/>
                <w:lang w:eastAsia="hi-IN" w:bidi="hi-IN"/>
              </w:rPr>
            </w:r>
          </w:p>
        </w:tc>
      </w:tr>
      <w:tr>
        <w:trPr>
          <w:trHeight w:val="362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709" w:type="dxa"/>
            <w:textDirection w:val="lrTb"/>
            <w:vAlign w:val="top"/>
          </w:tcPr>
          <w:p>
            <w:pPr>
              <w:pStyle w:val="Normal"/>
              <w:widowControl w:val="off"/>
              <w:numPr>
                <w:numId w:val="3"/>
                <w:ilvl w:val="0"/>
              </w:numPr>
              <w:spacing w:after="0" w:line="240" w:lineRule="auto"/>
              <w:jc w:val="center"/>
              <w:rPr>
                <w:rFonts w:ascii="Times New Roman" w:hAnsi="Times New Roman" w:eastAsia="SimSun"/>
                <w:lang w:eastAsia="hi-IN" w:bidi="hi-IN"/>
              </w:rPr>
            </w:pPr>
            <w:r>
              <w:rPr>
                <w:rFonts w:ascii="Times New Roman" w:hAnsi="Times New Roman" w:eastAsia="SimSun"/>
                <w:lang w:eastAsia="hi-IN" w:bidi="hi-IN"/>
              </w:rPr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2"/>
              <w:spacing w:before="0"/>
              <w:ind w:left="-29"/>
              <w:rPr>
                <w:lang w:val="en-US"/>
              </w:rPr>
            </w:pPr>
            <w:r>
              <w:rPr>
                <w:lang w:val="en-US"/>
              </w:rPr>
              <w:t xml:space="preserve">Моноблок </w:t>
            </w:r>
            <w:r>
              <w:rPr>
                <w:lang w:val="en-US"/>
              </w:rPr>
              <w:t xml:space="preserve">IRBIS GroovyAIO 24</w:t>
            </w:r>
            <w:r>
              <w:rPr>
                <w:lang w:val="en-US"/>
              </w:rPr>
            </w:r>
          </w:p>
        </w:tc>
        <w:tc>
          <w:tcPr>
            <w:tcW w:w="5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модель G.24i5M2165WHC.100</w:t>
            </w:r>
            <w:r>
              <w:rPr>
                <w:spacing w:val="-5"/>
              </w:rPr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Диагональ экрана</w:t>
              <w:tab/>
            </w:r>
            <w:r>
              <w:rPr>
                <w:spacing w:val="-5"/>
              </w:rPr>
              <w:t xml:space="preserve">23.8 "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Разрешение экрана</w:t>
              <w:tab/>
              <w:t xml:space="preserve">1920 х 1080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Тип матрицы</w:t>
              <w:tab/>
              <w:t xml:space="preserve">IPS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Разрешение матрицы экрана</w:t>
              <w:tab/>
              <w:t xml:space="preserve">Full HD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Процессор, семейство</w:t>
              <w:tab/>
              <w:t xml:space="preserve">Intel Core i5 или эквивалент (поколение процессора</w:t>
            </w:r>
            <w:r>
              <w:rPr>
                <w:spacing w:val="-5"/>
              </w:rPr>
              <w:t xml:space="preserve"> не ниже 12-го)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Процессор, часто</w:t>
            </w:r>
            <w:r>
              <w:rPr>
                <w:spacing w:val="-5"/>
              </w:rPr>
              <w:t xml:space="preserve">та базовая</w:t>
              <w:tab/>
            </w:r>
            <w:r>
              <w:rPr>
                <w:spacing w:val="-5"/>
              </w:rPr>
              <w:t xml:space="preserve">1.7 ГГц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Процессор, частота в режиме Turbo</w:t>
              <w:tab/>
            </w:r>
            <w:r>
              <w:rPr>
                <w:spacing w:val="-5"/>
              </w:rPr>
              <w:t xml:space="preserve">4.4 ГГц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Количество ядер процессора</w:t>
              <w:tab/>
            </w:r>
            <w:r>
              <w:rPr>
                <w:spacing w:val="-5"/>
              </w:rPr>
              <w:t xml:space="preserve">12-ядерный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Количество высокопроизводительных ядер</w:t>
              <w:tab/>
            </w:r>
            <w:r>
              <w:rPr>
                <w:spacing w:val="-5"/>
              </w:rPr>
              <w:t xml:space="preserve">4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Количество энергоэффективных ядер</w:t>
              <w:tab/>
            </w:r>
            <w:r>
              <w:rPr>
                <w:spacing w:val="-5"/>
              </w:rPr>
              <w:t xml:space="preserve">8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Количество потоков</w:t>
              <w:tab/>
            </w:r>
            <w:r>
              <w:rPr>
                <w:spacing w:val="-5"/>
              </w:rPr>
              <w:t xml:space="preserve">16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Оперативная па</w:t>
            </w:r>
            <w:r>
              <w:rPr>
                <w:spacing w:val="-5"/>
              </w:rPr>
              <w:t xml:space="preserve">мять</w:t>
              <w:tab/>
            </w:r>
            <w:r>
              <w:rPr>
                <w:spacing w:val="-5"/>
              </w:rPr>
              <w:t xml:space="preserve">16 ГБ, DDR4, SO-DIMM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Возможность апгрейда</w:t>
            </w:r>
            <w:r>
              <w:rPr>
                <w:spacing w:val="-5"/>
              </w:rPr>
              <w:t xml:space="preserve"> оперативной памяти</w:t>
            </w:r>
            <w:r>
              <w:rPr>
                <w:spacing w:val="-5"/>
              </w:rPr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Соответствие (наличие не менее 2 слотов SO-DIMM)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Максимальный объем оперативной памяти</w:t>
              <w:tab/>
            </w:r>
            <w:r>
              <w:rPr>
                <w:spacing w:val="-5"/>
              </w:rPr>
              <w:t xml:space="preserve">64 ГБ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Тип графического контроллера</w:t>
              <w:tab/>
              <w:t xml:space="preserve">Интегрированный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Графика</w:t>
              <w:tab/>
              <w:t xml:space="preserve">Intel Iris Xe Graphics или Intel UHD Gra</w:t>
            </w:r>
            <w:r>
              <w:rPr>
                <w:spacing w:val="-5"/>
              </w:rPr>
              <w:t xml:space="preserve">phics </w:t>
            </w:r>
            <w:r>
              <w:rPr>
                <w:spacing w:val="-5"/>
              </w:rPr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Объем SSD</w:t>
              <w:tab/>
            </w:r>
            <w:r>
              <w:rPr>
                <w:spacing w:val="-5"/>
              </w:rPr>
              <w:t xml:space="preserve">512 ГБ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Интерфейс накопителя</w:t>
              <w:tab/>
              <w:t xml:space="preserve">NVMe PCIe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Встроенный кард-ридер</w:t>
              <w:tab/>
              <w:t xml:space="preserve">Соответствие 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Встроенный Wi-Fi</w:t>
              <w:tab/>
              <w:t xml:space="preserve">Соответствие 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Стандарт Wi-Fi</w:t>
              <w:tab/>
              <w:t xml:space="preserve">Не ниже 802.11 ax (Wi-Fi 6)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Встроенный Bluetooth</w:t>
              <w:tab/>
              <w:t xml:space="preserve">Соответствие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Стандарт Bluetooth</w:t>
              <w:tab/>
              <w:t xml:space="preserve">Не ниже v5.0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Тип кабельной сети (разъем RJ-45)</w:t>
              <w:tab/>
              <w:t xml:space="preserve">Gigabit Ethernet (10/100/1000 Мбит/с)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Web-камера</w:t>
              <w:tab/>
              <w:t xml:space="preserve">Наличие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Отсоединяемая веб-камера</w:t>
              <w:tab/>
              <w:t xml:space="preserve">Наличие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Тип Web-камеры</w:t>
              <w:tab/>
              <w:t xml:space="preserve">Съемная на магнитном креплении или встроенная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Разрешение Web-камеры</w:t>
              <w:tab/>
            </w:r>
            <w:r>
              <w:rPr>
                <w:spacing w:val="-5"/>
              </w:rPr>
              <w:t xml:space="preserve">5 Мп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Наличие ди</w:t>
            </w:r>
            <w:r>
              <w:rPr>
                <w:spacing w:val="-5"/>
              </w:rPr>
              <w:t xml:space="preserve">намиков</w:t>
              <w:tab/>
              <w:t xml:space="preserve">Соответствие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Разъемов USB </w:t>
            </w:r>
            <w:r>
              <w:rPr>
                <w:spacing w:val="-5"/>
              </w:rPr>
              <w:t xml:space="preserve">не менее </w:t>
            </w:r>
            <w:r>
              <w:rPr>
                <w:spacing w:val="-5"/>
              </w:rPr>
              <w:tab/>
            </w:r>
            <w:r>
              <w:rPr>
                <w:spacing w:val="-5"/>
              </w:rPr>
              <w:t xml:space="preserve">4 шт.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USB Type-C с поддержкой full function</w:t>
            </w:r>
            <w:r>
              <w:rPr>
                <w:spacing w:val="-5"/>
              </w:rPr>
              <w:t xml:space="preserve"> </w:t>
            </w:r>
            <w:r>
              <w:rPr>
                <w:spacing w:val="-5"/>
              </w:rPr>
              <w:t xml:space="preserve">Наличие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Разъем</w:t>
            </w:r>
            <w:r>
              <w:rPr>
                <w:spacing w:val="-5"/>
              </w:rPr>
              <w:t xml:space="preserve">ов USB Type-C</w:t>
              <w:tab/>
            </w:r>
            <w:r>
              <w:rPr>
                <w:spacing w:val="-5"/>
              </w:rPr>
              <w:t xml:space="preserve">1 шт.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Разъемов HDMI</w:t>
              <w:tab/>
            </w:r>
            <w:r>
              <w:rPr>
                <w:spacing w:val="-5"/>
              </w:rPr>
              <w:t xml:space="preserve">1 шт.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Разъем для микрофона/наушников</w:t>
              <w:tab/>
              <w:t xml:space="preserve">Наличие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Комплектация</w:t>
              <w:tab/>
              <w:t xml:space="preserve">Наличие проводной клавиатуры и проводной оптической мыш</w:t>
            </w:r>
            <w:r>
              <w:rPr>
                <w:spacing w:val="-5"/>
              </w:rPr>
              <w:t xml:space="preserve">и в комплекте поставки</w:t>
            </w:r>
          </w:p>
          <w:p>
            <w:pPr>
              <w:pStyle w:val="UserStyle_2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Габариты (Ш×В×Г)</w:t>
              <w:tab/>
            </w:r>
            <w:r>
              <w:rPr>
                <w:spacing w:val="-5"/>
              </w:rPr>
              <w:t xml:space="preserve">542 × 322 × 78 мм</w:t>
            </w:r>
            <w:r>
              <w:rPr>
                <w:spacing w:val="-5"/>
              </w:rPr>
            </w:r>
          </w:p>
        </w:tc>
        <w:tc>
          <w:tcPr>
            <w:tcW w:w="850" w:type="dxa"/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 w:eastAsia="SimSun"/>
                <w:lang w:eastAsia="hi-IN" w:bidi="hi-IN"/>
              </w:rPr>
            </w:pPr>
            <w:r>
              <w:rPr>
                <w:rFonts w:ascii="Times New Roman" w:hAnsi="Times New Roman"/>
              </w:rPr>
              <w:t xml:space="preserve">ш</w:t>
            </w:r>
            <w:r>
              <w:rPr>
                <w:rFonts w:ascii="Times New Roman" w:hAnsi="Times New Roman"/>
              </w:rPr>
              <w:t xml:space="preserve">т</w:t>
            </w:r>
            <w:r>
              <w:rPr>
                <w:rFonts w:ascii="Times New Roman" w:hAnsi="Times New Roman" w:eastAsia="SimSun"/>
                <w:lang w:eastAsia="hi-IN" w:bidi="hi-IN"/>
              </w:rPr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widowControl w:val="o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</w:rPr>
            </w:r>
          </w:p>
        </w:tc>
      </w:tr>
    </w:tbl>
    <w:p>
      <w:pPr>
        <w:pStyle w:val="UserStyle_3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Hlk219478287"/>
      <w:r>
        <w:rPr>
          <w:rFonts w:ascii="Times New Roman" w:hAnsi="Times New Roman" w:cs="Times New Roman"/>
          <w:b/>
          <w:bCs/>
        </w:rPr>
      </w:r>
    </w:p>
    <w:p>
      <w:pPr>
        <w:pStyle w:val="UserStyle_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 Мест</w:t>
      </w:r>
      <w:r>
        <w:rPr>
          <w:rFonts w:ascii="Times New Roman" w:hAnsi="Times New Roman" w:cs="Times New Roman"/>
          <w:b/>
          <w:bCs/>
        </w:rPr>
        <w:t xml:space="preserve">о поста</w:t>
      </w:r>
      <w:r>
        <w:rPr>
          <w:rFonts w:ascii="Times New Roman" w:hAnsi="Times New Roman" w:cs="Times New Roman"/>
          <w:b/>
          <w:bCs/>
        </w:rPr>
        <w:t xml:space="preserve">вк</w:t>
      </w:r>
      <w:r>
        <w:rPr>
          <w:rFonts w:ascii="Times New Roman" w:hAnsi="Times New Roman" w:cs="Times New Roman"/>
          <w:b/>
          <w:bCs/>
        </w:rPr>
        <w:t xml:space="preserve">и: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629300, РФ, Тюменская обл., ЯНАО г. Новый Ур</w:t>
      </w:r>
      <w:r>
        <w:rPr>
          <w:rFonts w:ascii="Times New Roman" w:hAnsi="Times New Roman" w:cs="Times New Roman"/>
        </w:rPr>
        <w:t xml:space="preserve">енгой, улица Промышленная, дом 3.</w:t>
      </w:r>
      <w:r>
        <w:rPr>
          <w:rFonts w:ascii="Times New Roman" w:hAnsi="Times New Roman" w:cs="Times New Roman"/>
        </w:rPr>
      </w:r>
    </w:p>
    <w:p>
      <w:pPr>
        <w:pStyle w:val="UserStyle_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3. С</w:t>
      </w:r>
      <w:r>
        <w:rPr>
          <w:rFonts w:ascii="Times New Roman" w:hAnsi="Times New Roman" w:cs="Times New Roman"/>
          <w:b/>
          <w:bCs/>
        </w:rPr>
        <w:t xml:space="preserve">рок поставки: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 даты </w:t>
      </w:r>
      <w:r>
        <w:rPr>
          <w:rFonts w:ascii="Times New Roman" w:hAnsi="Times New Roman" w:cs="Times New Roman"/>
        </w:rPr>
        <w:t xml:space="preserve">закл</w:t>
      </w:r>
      <w:r>
        <w:rPr>
          <w:rFonts w:ascii="Times New Roman" w:hAnsi="Times New Roman" w:cs="Times New Roman"/>
        </w:rPr>
        <w:t xml:space="preserve">ючения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договора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по 30.11.2026</w:t>
      </w:r>
      <w:r>
        <w:rPr>
          <w:rFonts w:ascii="Times New Roman" w:hAnsi="Times New Roman" w:cs="Times New Roman"/>
        </w:rPr>
      </w:r>
    </w:p>
    <w:p>
      <w:pPr>
        <w:pStyle w:val="UserStyle_3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До</w:t>
      </w:r>
      <w:r>
        <w:rPr>
          <w:rFonts w:ascii="Times New Roman" w:hAnsi="Times New Roman" w:cs="Times New Roman"/>
        </w:rPr>
        <w:t xml:space="preserve">ст</w:t>
      </w:r>
      <w:r>
        <w:rPr>
          <w:rFonts w:ascii="Times New Roman" w:hAnsi="Times New Roman" w:cs="Times New Roman"/>
        </w:rPr>
        <w:t xml:space="preserve">авка товара, погрузочно-разгрузочные раб</w:t>
      </w:r>
      <w:r>
        <w:rPr>
          <w:rFonts w:ascii="Times New Roman" w:hAnsi="Times New Roman" w:cs="Times New Roman"/>
        </w:rPr>
        <w:t xml:space="preserve">оты произв</w:t>
      </w:r>
      <w:r>
        <w:rPr>
          <w:rFonts w:ascii="Times New Roman" w:hAnsi="Times New Roman" w:cs="Times New Roman"/>
        </w:rPr>
        <w:t xml:space="preserve">одятся силами и за счет Пост</w:t>
      </w:r>
      <w:r>
        <w:rPr>
          <w:rFonts w:ascii="Times New Roman" w:hAnsi="Times New Roman" w:cs="Times New Roman"/>
        </w:rPr>
        <w:t xml:space="preserve">авщика</w:t>
      </w:r>
      <w:r>
        <w:rPr>
          <w:rFonts w:ascii="Times New Roman" w:hAnsi="Times New Roman" w:cs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b/>
        </w:rPr>
      </w:pPr>
      <w:bookmarkEnd w:id="0"/>
      <w:r>
        <w:rPr>
          <w:rFonts w:ascii="Times New Roman" w:hAnsi="Times New Roman"/>
          <w:b/>
        </w:rPr>
        <w:t xml:space="preserve">4.</w:t>
      </w:r>
      <w:r>
        <w:rPr>
          <w:rFonts w:ascii="Times New Roman" w:hAnsi="Times New Roman"/>
          <w:b/>
        </w:rPr>
        <w:t xml:space="preserve"> Требования к </w:t>
      </w:r>
      <w:r>
        <w:rPr>
          <w:rFonts w:ascii="Times New Roman" w:hAnsi="Times New Roman"/>
          <w:b/>
        </w:rPr>
        <w:t xml:space="preserve">каче</w:t>
      </w:r>
      <w:r>
        <w:rPr>
          <w:rFonts w:ascii="Times New Roman" w:hAnsi="Times New Roman"/>
          <w:b/>
        </w:rPr>
        <w:t xml:space="preserve">ству, безопасности поставляемого товара:</w:t>
      </w: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Поставляемы</w:t>
      </w:r>
      <w:r>
        <w:rPr>
          <w:rFonts w:ascii="Times New Roman" w:hAnsi="Times New Roman"/>
        </w:rPr>
        <w:t xml:space="preserve">й товар дол</w:t>
      </w:r>
      <w:r>
        <w:rPr>
          <w:rFonts w:ascii="Times New Roman" w:hAnsi="Times New Roman"/>
        </w:rPr>
        <w:t xml:space="preserve">жен соответствовать </w:t>
      </w:r>
      <w:r>
        <w:rPr>
          <w:rFonts w:ascii="Times New Roman" w:hAnsi="Times New Roman"/>
        </w:rPr>
        <w:t xml:space="preserve">заданны</w:t>
      </w:r>
      <w:r>
        <w:rPr>
          <w:rFonts w:ascii="Times New Roman" w:hAnsi="Times New Roman"/>
        </w:rPr>
        <w:t xml:space="preserve">м функцион</w:t>
      </w:r>
      <w:r>
        <w:rPr>
          <w:rFonts w:ascii="Times New Roman" w:hAnsi="Times New Roman"/>
        </w:rPr>
        <w:t xml:space="preserve">альным и к</w:t>
      </w:r>
      <w:r>
        <w:rPr>
          <w:rFonts w:ascii="Times New Roman" w:hAnsi="Times New Roman"/>
        </w:rPr>
        <w:t xml:space="preserve">ачес</w:t>
      </w:r>
      <w:r>
        <w:rPr>
          <w:rFonts w:ascii="Times New Roman" w:hAnsi="Times New Roman"/>
        </w:rPr>
        <w:t xml:space="preserve">твенным ха</w:t>
      </w:r>
      <w:r>
        <w:rPr>
          <w:rFonts w:ascii="Times New Roman" w:hAnsi="Times New Roman"/>
        </w:rPr>
        <w:t xml:space="preserve">ра</w:t>
      </w:r>
      <w:r>
        <w:rPr>
          <w:rFonts w:ascii="Times New Roman" w:hAnsi="Times New Roman"/>
        </w:rPr>
        <w:t xml:space="preserve">ктеристикам.</w:t>
      </w:r>
      <w:r>
        <w:rPr>
          <w:rFonts w:ascii="Times New Roman" w:hAnsi="Times New Roman"/>
        </w:rPr>
        <w:t xml:space="preserve"> 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</w:t>
      </w:r>
      <w:r>
        <w:rPr>
          <w:rFonts w:ascii="Times New Roman" w:hAnsi="Times New Roman"/>
        </w:rPr>
        <w:t xml:space="preserve"> Поставляемый товар должен быть разрешен </w:t>
      </w:r>
      <w:r>
        <w:rPr>
          <w:rFonts w:ascii="Times New Roman" w:hAnsi="Times New Roman"/>
        </w:rPr>
        <w:t xml:space="preserve">к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использов</w:t>
      </w:r>
      <w:r>
        <w:rPr>
          <w:rFonts w:ascii="Times New Roman" w:hAnsi="Times New Roman"/>
        </w:rPr>
        <w:t xml:space="preserve">анию на тер</w:t>
      </w:r>
      <w:r>
        <w:rPr>
          <w:rFonts w:ascii="Times New Roman" w:hAnsi="Times New Roman"/>
        </w:rPr>
        <w:t xml:space="preserve">ритории Российско</w:t>
      </w:r>
      <w:r>
        <w:rPr>
          <w:rFonts w:ascii="Times New Roman" w:hAnsi="Times New Roman"/>
        </w:rPr>
        <w:t xml:space="preserve">й Федерац</w:t>
      </w:r>
      <w:r>
        <w:rPr>
          <w:rFonts w:ascii="Times New Roman" w:hAnsi="Times New Roman"/>
        </w:rPr>
        <w:t xml:space="preserve">ии, иметь торг</w:t>
      </w:r>
      <w:r>
        <w:rPr>
          <w:rFonts w:ascii="Times New Roman" w:hAnsi="Times New Roman"/>
        </w:rPr>
        <w:t xml:space="preserve">овую</w:t>
      </w:r>
      <w:r>
        <w:rPr>
          <w:rFonts w:ascii="Times New Roman" w:hAnsi="Times New Roman"/>
        </w:rPr>
        <w:t xml:space="preserve"> марку и товарный знак, качество поставля</w:t>
      </w:r>
      <w:r>
        <w:rPr>
          <w:rFonts w:ascii="Times New Roman" w:hAnsi="Times New Roman"/>
        </w:rPr>
        <w:t xml:space="preserve">емого товара должно полност</w:t>
      </w:r>
      <w:r>
        <w:rPr>
          <w:rFonts w:ascii="Times New Roman" w:hAnsi="Times New Roman"/>
        </w:rPr>
        <w:t xml:space="preserve">ью соответствовать у</w:t>
      </w:r>
      <w:r>
        <w:rPr>
          <w:rFonts w:ascii="Times New Roman" w:hAnsi="Times New Roman"/>
        </w:rPr>
        <w:t xml:space="preserve">становл</w:t>
      </w:r>
      <w:r>
        <w:rPr>
          <w:rFonts w:ascii="Times New Roman" w:hAnsi="Times New Roman"/>
        </w:rPr>
        <w:t xml:space="preserve">енным требованиям Ро</w:t>
      </w:r>
      <w:r>
        <w:rPr>
          <w:rFonts w:ascii="Times New Roman" w:hAnsi="Times New Roman"/>
        </w:rPr>
        <w:t xml:space="preserve">ссийской Федер</w:t>
      </w:r>
      <w:r>
        <w:rPr>
          <w:rFonts w:ascii="Times New Roman" w:hAnsi="Times New Roman"/>
        </w:rPr>
        <w:t xml:space="preserve">ации, ГОСТ, ОСТ, нор</w:t>
      </w:r>
      <w:r>
        <w:rPr>
          <w:rFonts w:ascii="Times New Roman" w:hAnsi="Times New Roman"/>
        </w:rPr>
        <w:t xml:space="preserve">мативно-технической документации (сертифи</w:t>
      </w:r>
      <w:r>
        <w:rPr>
          <w:rFonts w:ascii="Times New Roman" w:hAnsi="Times New Roman"/>
        </w:rPr>
        <w:t xml:space="preserve">к</w:t>
      </w:r>
      <w:r>
        <w:rPr>
          <w:rFonts w:ascii="Times New Roman" w:hAnsi="Times New Roman"/>
        </w:rPr>
        <w:t xml:space="preserve">а</w:t>
      </w:r>
      <w:r>
        <w:rPr>
          <w:rFonts w:ascii="Times New Roman" w:hAnsi="Times New Roman"/>
        </w:rPr>
        <w:t xml:space="preserve">там качес</w:t>
      </w:r>
      <w:r>
        <w:rPr>
          <w:rFonts w:ascii="Times New Roman" w:hAnsi="Times New Roman"/>
        </w:rPr>
        <w:t xml:space="preserve">тва, паспор</w:t>
      </w:r>
      <w:r>
        <w:rPr>
          <w:rFonts w:ascii="Times New Roman" w:hAnsi="Times New Roman"/>
        </w:rPr>
        <w:t xml:space="preserve">т товара, деклара</w:t>
      </w:r>
      <w:r>
        <w:rPr>
          <w:rFonts w:ascii="Times New Roman" w:hAnsi="Times New Roman"/>
        </w:rPr>
        <w:t xml:space="preserve">циям о со</w:t>
      </w:r>
      <w:r>
        <w:rPr>
          <w:rFonts w:ascii="Times New Roman" w:hAnsi="Times New Roman"/>
        </w:rPr>
        <w:t xml:space="preserve">ответствии и (</w:t>
      </w:r>
      <w:r>
        <w:rPr>
          <w:rFonts w:ascii="Times New Roman" w:hAnsi="Times New Roman"/>
        </w:rPr>
        <w:t xml:space="preserve">или)</w:t>
      </w:r>
      <w:r>
        <w:rPr>
          <w:rFonts w:ascii="Times New Roman" w:hAnsi="Times New Roman"/>
        </w:rPr>
        <w:t xml:space="preserve"> другим документам, подтверждающим качест</w:t>
      </w:r>
      <w:r>
        <w:rPr>
          <w:rFonts w:ascii="Times New Roman" w:hAnsi="Times New Roman"/>
        </w:rPr>
        <w:t xml:space="preserve">во товара).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Поставляем</w:t>
      </w:r>
      <w:r>
        <w:rPr>
          <w:rFonts w:ascii="Times New Roman" w:hAnsi="Times New Roman"/>
        </w:rPr>
        <w:t xml:space="preserve">ый Товар должен</w:t>
      </w:r>
      <w:r>
        <w:rPr>
          <w:rFonts w:ascii="Times New Roman" w:hAnsi="Times New Roman"/>
        </w:rPr>
        <w:t xml:space="preserve"> явля</w:t>
      </w:r>
      <w:r>
        <w:rPr>
          <w:rFonts w:ascii="Times New Roman" w:hAnsi="Times New Roman"/>
        </w:rPr>
        <w:t xml:space="preserve">ться но</w:t>
      </w:r>
      <w:r>
        <w:rPr>
          <w:rFonts w:ascii="Times New Roman" w:hAnsi="Times New Roman"/>
        </w:rPr>
        <w:t xml:space="preserve">вым, ранее не использованным (все </w:t>
      </w:r>
      <w:r>
        <w:rPr>
          <w:rFonts w:ascii="Times New Roman" w:hAnsi="Times New Roman"/>
        </w:rPr>
        <w:t xml:space="preserve">составные части Това</w:t>
      </w:r>
      <w:r>
        <w:rPr>
          <w:rFonts w:ascii="Times New Roman" w:hAnsi="Times New Roman"/>
        </w:rPr>
        <w:t xml:space="preserve">ра должны быть новыми), не должен иметь д</w:t>
      </w:r>
      <w:r>
        <w:rPr>
          <w:rFonts w:ascii="Times New Roman" w:hAnsi="Times New Roman"/>
        </w:rPr>
        <w:t xml:space="preserve">еф</w:t>
      </w:r>
      <w:r>
        <w:rPr>
          <w:rFonts w:ascii="Times New Roman" w:hAnsi="Times New Roman"/>
        </w:rPr>
        <w:t xml:space="preserve">ектов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</w:t>
      </w:r>
      <w:r>
        <w:rPr>
          <w:rFonts w:ascii="Times New Roman" w:hAnsi="Times New Roman"/>
        </w:rPr>
        <w:t xml:space="preserve">. Товар должен быть безопасным и отве</w:t>
      </w:r>
      <w:r>
        <w:rPr>
          <w:rFonts w:ascii="Times New Roman" w:hAnsi="Times New Roman"/>
        </w:rPr>
        <w:t xml:space="preserve">чать требованиям з</w:t>
      </w:r>
      <w:r>
        <w:rPr>
          <w:rFonts w:ascii="Times New Roman" w:hAnsi="Times New Roman"/>
        </w:rPr>
        <w:t xml:space="preserve">аконодательства Российской Федерации, тре</w:t>
      </w:r>
      <w:r>
        <w:rPr>
          <w:rFonts w:ascii="Times New Roman" w:hAnsi="Times New Roman"/>
        </w:rPr>
        <w:t xml:space="preserve">бованиям безопасности, ГОСТ</w:t>
      </w:r>
      <w:r>
        <w:rPr>
          <w:rFonts w:ascii="Times New Roman" w:hAnsi="Times New Roman"/>
        </w:rPr>
        <w:t xml:space="preserve">, нормам и правилам </w:t>
      </w:r>
      <w:r>
        <w:rPr>
          <w:rFonts w:ascii="Times New Roman" w:hAnsi="Times New Roman"/>
        </w:rPr>
        <w:t xml:space="preserve">безопас</w:t>
      </w:r>
      <w:r>
        <w:rPr>
          <w:rFonts w:ascii="Times New Roman" w:hAnsi="Times New Roman"/>
        </w:rPr>
        <w:t xml:space="preserve">ности его эксплуатации и другой но</w:t>
      </w:r>
      <w:r>
        <w:rPr>
          <w:rFonts w:ascii="Times New Roman" w:hAnsi="Times New Roman"/>
        </w:rPr>
        <w:t xml:space="preserve">рмативно-технической</w:t>
      </w:r>
      <w:r>
        <w:rPr>
          <w:rFonts w:ascii="Times New Roman" w:hAnsi="Times New Roman"/>
        </w:rPr>
        <w:t xml:space="preserve"> документации.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4.5. Товар должен отвечать</w:t>
      </w:r>
      <w:r>
        <w:rPr>
          <w:rFonts w:ascii="Times New Roman" w:hAnsi="Times New Roman"/>
        </w:rPr>
        <w:t xml:space="preserve"> требова</w:t>
      </w:r>
      <w:r>
        <w:rPr>
          <w:rFonts w:ascii="Times New Roman" w:hAnsi="Times New Roman"/>
        </w:rPr>
        <w:t xml:space="preserve">ния</w:t>
      </w:r>
      <w:r>
        <w:rPr>
          <w:rFonts w:ascii="Times New Roman" w:hAnsi="Times New Roman"/>
        </w:rPr>
        <w:t xml:space="preserve">м б</w:t>
      </w:r>
      <w:r>
        <w:rPr>
          <w:rFonts w:ascii="Times New Roman" w:hAnsi="Times New Roman"/>
        </w:rPr>
        <w:t xml:space="preserve">езопасности жизни и здоровья, окру</w:t>
      </w:r>
      <w:r>
        <w:rPr>
          <w:rFonts w:ascii="Times New Roman" w:hAnsi="Times New Roman"/>
        </w:rPr>
        <w:t xml:space="preserve">жающей среды в теч</w:t>
      </w:r>
      <w:r>
        <w:rPr>
          <w:rFonts w:ascii="Times New Roman" w:hAnsi="Times New Roman"/>
        </w:rPr>
        <w:t xml:space="preserve">ение установочного срока годности при обы</w:t>
      </w:r>
      <w:r>
        <w:rPr>
          <w:rFonts w:ascii="Times New Roman" w:hAnsi="Times New Roman"/>
        </w:rPr>
        <w:t xml:space="preserve">чных условиях его использования, хранения, тран</w:t>
      </w:r>
      <w:r>
        <w:rPr>
          <w:rFonts w:ascii="Times New Roman" w:hAnsi="Times New Roman"/>
        </w:rPr>
        <w:t xml:space="preserve">спортир</w:t>
      </w:r>
      <w:r>
        <w:rPr>
          <w:rFonts w:ascii="Times New Roman" w:hAnsi="Times New Roman"/>
        </w:rPr>
        <w:t xml:space="preserve">овки и утилизации.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5. Требования к</w:t>
      </w:r>
      <w:r>
        <w:rPr>
          <w:rFonts w:ascii="Times New Roman" w:hAnsi="Times New Roman"/>
          <w:b/>
        </w:rPr>
        <w:t xml:space="preserve"> упаковке и маркиров</w:t>
      </w:r>
      <w:r>
        <w:rPr>
          <w:rFonts w:ascii="Times New Roman" w:hAnsi="Times New Roman"/>
          <w:b/>
        </w:rPr>
        <w:t xml:space="preserve">ке поставляемого товара: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 Товар поста</w:t>
      </w:r>
      <w:r>
        <w:rPr>
          <w:rFonts w:ascii="Times New Roman" w:hAnsi="Times New Roman"/>
        </w:rPr>
        <w:t xml:space="preserve">вляется </w:t>
      </w:r>
      <w:r>
        <w:rPr>
          <w:rFonts w:ascii="Times New Roman" w:hAnsi="Times New Roman"/>
        </w:rPr>
        <w:t xml:space="preserve">в таре</w:t>
      </w:r>
      <w:r>
        <w:rPr>
          <w:rFonts w:ascii="Times New Roman" w:hAnsi="Times New Roman"/>
        </w:rPr>
        <w:t xml:space="preserve"> и упаковке, соответствующей госуд</w:t>
      </w:r>
      <w:r>
        <w:rPr>
          <w:rFonts w:ascii="Times New Roman" w:hAnsi="Times New Roman"/>
        </w:rPr>
        <w:t xml:space="preserve">арственным стандар</w:t>
      </w:r>
      <w:r>
        <w:rPr>
          <w:rFonts w:ascii="Times New Roman" w:hAnsi="Times New Roman"/>
        </w:rPr>
        <w:t xml:space="preserve">там, техническим условиям, предъявляемым </w:t>
      </w:r>
      <w:r>
        <w:rPr>
          <w:rFonts w:ascii="Times New Roman" w:hAnsi="Times New Roman"/>
        </w:rPr>
        <w:t xml:space="preserve">к поставке данного вида товара, другой норматив</w:t>
      </w:r>
      <w:r>
        <w:rPr>
          <w:rFonts w:ascii="Times New Roman" w:hAnsi="Times New Roman"/>
        </w:rPr>
        <w:t xml:space="preserve">но-техн</w:t>
      </w:r>
      <w:r>
        <w:rPr>
          <w:rFonts w:ascii="Times New Roman" w:hAnsi="Times New Roman"/>
        </w:rPr>
        <w:t xml:space="preserve">ической документации. На таре и уп</w:t>
      </w:r>
      <w:r>
        <w:rPr>
          <w:rFonts w:ascii="Times New Roman" w:hAnsi="Times New Roman"/>
        </w:rPr>
        <w:t xml:space="preserve">аковке должна содерж</w:t>
      </w:r>
      <w:r>
        <w:rPr>
          <w:rFonts w:ascii="Times New Roman" w:hAnsi="Times New Roman"/>
        </w:rPr>
        <w:t xml:space="preserve">аться отчетливая информация на русском яз</w:t>
      </w:r>
      <w:r>
        <w:rPr>
          <w:rFonts w:ascii="Times New Roman" w:hAnsi="Times New Roman"/>
        </w:rPr>
        <w:t xml:space="preserve">ыке;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</w:t>
      </w:r>
      <w:r>
        <w:rPr>
          <w:rFonts w:ascii="Times New Roman" w:hAnsi="Times New Roman"/>
        </w:rPr>
        <w:t xml:space="preserve">. Поставщик должен обеспечить упаковку т</w:t>
      </w:r>
      <w:r>
        <w:rPr>
          <w:rFonts w:ascii="Times New Roman" w:hAnsi="Times New Roman"/>
        </w:rPr>
        <w:t xml:space="preserve">овара, способную п</w:t>
      </w:r>
      <w:r>
        <w:rPr>
          <w:rFonts w:ascii="Times New Roman" w:hAnsi="Times New Roman"/>
        </w:rPr>
        <w:t xml:space="preserve">редотвратить его повреждение или порчу во</w:t>
      </w:r>
      <w:r>
        <w:rPr>
          <w:rFonts w:ascii="Times New Roman" w:hAnsi="Times New Roman"/>
        </w:rPr>
        <w:t xml:space="preserve"> время перевозки к конечному пункту назначения </w:t>
      </w:r>
      <w:r>
        <w:rPr>
          <w:rFonts w:ascii="Times New Roman" w:hAnsi="Times New Roman"/>
        </w:rPr>
        <w:t xml:space="preserve">– Заказ</w:t>
      </w:r>
      <w:r>
        <w:rPr>
          <w:rFonts w:ascii="Times New Roman" w:hAnsi="Times New Roman"/>
        </w:rPr>
        <w:t xml:space="preserve">чику;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5.3. Поставщик несет ответст</w:t>
      </w:r>
      <w:r>
        <w:rPr>
          <w:rFonts w:ascii="Times New Roman" w:hAnsi="Times New Roman"/>
        </w:rPr>
        <w:t xml:space="preserve">венность за ненадлеж</w:t>
      </w:r>
      <w:r>
        <w:rPr>
          <w:rFonts w:ascii="Times New Roman" w:hAnsi="Times New Roman"/>
        </w:rPr>
        <w:t xml:space="preserve">ащую упаковку, не обеспечивающую сохранно</w:t>
      </w:r>
      <w:r>
        <w:rPr>
          <w:rFonts w:ascii="Times New Roman" w:hAnsi="Times New Roman"/>
        </w:rPr>
        <w:t xml:space="preserve">сть това</w:t>
      </w:r>
      <w:r>
        <w:rPr>
          <w:rFonts w:ascii="Times New Roman" w:hAnsi="Times New Roman"/>
        </w:rPr>
        <w:t xml:space="preserve">ра при его хранении и транспортировании;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5.4. Упаковка и м</w:t>
      </w:r>
      <w:r>
        <w:rPr>
          <w:rFonts w:ascii="Times New Roman" w:hAnsi="Times New Roman"/>
        </w:rPr>
        <w:t xml:space="preserve">аркировка товара должна соответствовать т</w:t>
      </w:r>
      <w:r>
        <w:rPr>
          <w:rFonts w:ascii="Times New Roman" w:hAnsi="Times New Roman"/>
        </w:rPr>
        <w:t xml:space="preserve">ребованиям ГОСТ, импортный товар – международны</w:t>
      </w:r>
      <w:r>
        <w:rPr>
          <w:rFonts w:ascii="Times New Roman" w:hAnsi="Times New Roman"/>
        </w:rPr>
        <w:t xml:space="preserve">м станд</w:t>
      </w:r>
      <w:r>
        <w:rPr>
          <w:rFonts w:ascii="Times New Roman" w:hAnsi="Times New Roman"/>
        </w:rPr>
        <w:t xml:space="preserve">артам упаковки. Маркировка товара </w:t>
      </w:r>
      <w:r>
        <w:rPr>
          <w:rFonts w:ascii="Times New Roman" w:hAnsi="Times New Roman"/>
        </w:rPr>
        <w:t xml:space="preserve">должна содержать: на</w:t>
      </w:r>
      <w:r>
        <w:rPr>
          <w:rFonts w:ascii="Times New Roman" w:hAnsi="Times New Roman"/>
        </w:rPr>
        <w:t xml:space="preserve">именование товара, наименование фирмы-изг</w:t>
      </w:r>
      <w:r>
        <w:rPr>
          <w:rFonts w:ascii="Times New Roman" w:hAnsi="Times New Roman"/>
        </w:rPr>
        <w:t xml:space="preserve">отовител</w:t>
      </w:r>
      <w:r>
        <w:rPr>
          <w:rFonts w:ascii="Times New Roman" w:hAnsi="Times New Roman"/>
        </w:rPr>
        <w:t xml:space="preserve">я, юридический адрес изготовителя, дату </w:t>
      </w:r>
      <w:r>
        <w:rPr>
          <w:rFonts w:ascii="Times New Roman" w:hAnsi="Times New Roman"/>
        </w:rPr>
        <w:t xml:space="preserve">выпуска. Маркировк</w:t>
      </w:r>
      <w:r>
        <w:rPr>
          <w:rFonts w:ascii="Times New Roman" w:hAnsi="Times New Roman"/>
        </w:rPr>
        <w:t xml:space="preserve">а упаковки должна строго соответствовать </w:t>
      </w:r>
      <w:r>
        <w:rPr>
          <w:rFonts w:ascii="Times New Roman" w:hAnsi="Times New Roman"/>
        </w:rPr>
        <w:t xml:space="preserve">маркировке товара.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6. Требования к гарантийному</w:t>
      </w:r>
      <w:r>
        <w:rPr>
          <w:rFonts w:ascii="Times New Roman" w:hAnsi="Times New Roman"/>
          <w:b/>
        </w:rPr>
        <w:t xml:space="preserve"> сроку </w:t>
      </w:r>
      <w:r>
        <w:rPr>
          <w:rFonts w:ascii="Times New Roman" w:hAnsi="Times New Roman"/>
          <w:b/>
        </w:rPr>
        <w:t xml:space="preserve">товара и (или) объему предоставлен</w:t>
      </w:r>
      <w:r>
        <w:rPr>
          <w:rFonts w:ascii="Times New Roman" w:hAnsi="Times New Roman"/>
          <w:b/>
        </w:rPr>
        <w:t xml:space="preserve">ия гарантий качества</w:t>
      </w:r>
      <w:r>
        <w:rPr>
          <w:rFonts w:ascii="Times New Roman" w:hAnsi="Times New Roman"/>
          <w:b/>
        </w:rPr>
        <w:t xml:space="preserve"> товара: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6.1. Гарантия качества товара - </w:t>
      </w:r>
      <w:r>
        <w:rPr>
          <w:rFonts w:ascii="Times New Roman" w:hAnsi="Times New Roman"/>
        </w:rPr>
        <w:t xml:space="preserve">в соотве</w:t>
      </w:r>
      <w:r>
        <w:rPr>
          <w:rFonts w:ascii="Times New Roman" w:hAnsi="Times New Roman"/>
        </w:rPr>
        <w:t xml:space="preserve">тствии с гарантийным сроком, установленн</w:t>
      </w:r>
      <w:r>
        <w:rPr>
          <w:rFonts w:ascii="Times New Roman" w:hAnsi="Times New Roman"/>
        </w:rPr>
        <w:t xml:space="preserve">ым производителем.</w:t>
      </w:r>
      <w:r>
        <w:rPr>
          <w:rFonts w:ascii="Times New Roman" w:hAnsi="Times New Roman"/>
        </w:rPr>
        <w:t xml:space="preserve"> 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Гарантийные обязательства должны р</w:t>
      </w:r>
      <w:r>
        <w:rPr>
          <w:rFonts w:ascii="Times New Roman" w:hAnsi="Times New Roman"/>
        </w:rPr>
        <w:t xml:space="preserve">аспространяться на каждую единицу товара с моме</w:t>
      </w:r>
      <w:r>
        <w:rPr>
          <w:rFonts w:ascii="Times New Roman" w:hAnsi="Times New Roman"/>
        </w:rPr>
        <w:t xml:space="preserve">нта при</w:t>
      </w:r>
      <w:r>
        <w:rPr>
          <w:rFonts w:ascii="Times New Roman" w:hAnsi="Times New Roman"/>
        </w:rPr>
        <w:t xml:space="preserve">емки товара Заказчиком.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6.3. Поста</w:t>
      </w:r>
      <w:r>
        <w:rPr>
          <w:rFonts w:ascii="Times New Roman" w:hAnsi="Times New Roman"/>
        </w:rPr>
        <w:t xml:space="preserve">вщик обязан при обна</w:t>
      </w:r>
      <w:r>
        <w:rPr>
          <w:rFonts w:ascii="Times New Roman" w:hAnsi="Times New Roman"/>
        </w:rPr>
        <w:t xml:space="preserve">ружении недостатков у поставляемого товар</w:t>
      </w:r>
      <w:r>
        <w:rPr>
          <w:rFonts w:ascii="Times New Roman" w:hAnsi="Times New Roman"/>
        </w:rPr>
        <w:t xml:space="preserve">а замени</w:t>
      </w:r>
      <w:r>
        <w:rPr>
          <w:rFonts w:ascii="Times New Roman" w:hAnsi="Times New Roman"/>
        </w:rPr>
        <w:t xml:space="preserve">ть товар ненадлежащего качества, при обн</w:t>
      </w:r>
      <w:r>
        <w:rPr>
          <w:rFonts w:ascii="Times New Roman" w:hAnsi="Times New Roman"/>
        </w:rPr>
        <w:t xml:space="preserve">аружении некомплек</w:t>
      </w:r>
      <w:r>
        <w:rPr>
          <w:rFonts w:ascii="Times New Roman" w:hAnsi="Times New Roman"/>
        </w:rPr>
        <w:t xml:space="preserve">тности/недопоставки произвести доукомплек</w:t>
      </w:r>
      <w:r>
        <w:rPr>
          <w:rFonts w:ascii="Times New Roman" w:hAnsi="Times New Roman"/>
        </w:rPr>
        <w:t xml:space="preserve">тование/допоставку, при несоответствии товара у</w:t>
      </w:r>
      <w:r>
        <w:rPr>
          <w:rFonts w:ascii="Times New Roman" w:hAnsi="Times New Roman"/>
        </w:rPr>
        <w:t xml:space="preserve">становл</w:t>
      </w:r>
      <w:r>
        <w:rPr>
          <w:rFonts w:ascii="Times New Roman" w:hAnsi="Times New Roman"/>
        </w:rPr>
        <w:t xml:space="preserve">енному ассортименту, заменить това</w:t>
      </w:r>
      <w:r>
        <w:rPr>
          <w:rFonts w:ascii="Times New Roman" w:hAnsi="Times New Roman"/>
        </w:rPr>
        <w:t xml:space="preserve">р на соответствующий</w:t>
      </w:r>
      <w:r>
        <w:rPr>
          <w:rFonts w:ascii="Times New Roman" w:hAnsi="Times New Roman"/>
        </w:rPr>
        <w:t xml:space="preserve">, своим транспортом и за свой счет, в сро</w:t>
      </w:r>
      <w:r>
        <w:rPr>
          <w:rFonts w:ascii="Times New Roman" w:hAnsi="Times New Roman"/>
        </w:rPr>
        <w:t xml:space="preserve">ки, опре</w:t>
      </w:r>
      <w:r>
        <w:rPr>
          <w:rFonts w:ascii="Times New Roman" w:hAnsi="Times New Roman"/>
        </w:rPr>
        <w:t xml:space="preserve">деленные договором</w:t>
      </w:r>
    </w:p>
    <w:sectPr>
      <w:type w:val="nextPage"/>
      <w:pgSz w:w="11906" w:h="16838"/>
      <w:pgMar w:top="1134" w:right="56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SimSun">
    <w:panose1 w:val="02000603000000000000"/>
  </w:font>
  <w:font w:name="Segoe UI">
    <w:panose1 w:val="020B0502040504020204"/>
  </w:font>
  <w:font w:name="F">
    <w:panose1 w:val="020B060602020203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644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">
    <w:multiLevelType w:val="hybridMultilevel"/>
    <w:lvl w:ilvl="0">
      <w:start w:val="1"/>
      <w:numFmt w:val="decimal"/>
      <w:suff w:val="tab"/>
      <w:lvlText w:val=""/>
      <w:lvlJc w:val="left"/>
      <w:pPr>
        <w:pStyle w:val="Normal"/>
        <w:tabs>
          <w:tab w:val="left" w:pos="0" w:leader="none"/>
        </w:tabs>
        <w:ind w:left="0" w:firstLine="0"/>
      </w:pPr>
    </w:lvl>
    <w:lvl w:ilvl="1">
      <w:start w:val="1"/>
      <w:numFmt w:val="decimal"/>
      <w:suff w:val="tab"/>
      <w:lvlText w:val=""/>
      <w:lvlJc w:val="left"/>
      <w:pPr>
        <w:pStyle w:val="Normal"/>
        <w:tabs>
          <w:tab w:val="left" w:pos="0" w:leader="none"/>
        </w:tabs>
        <w:ind w:left="0" w:firstLine="0"/>
      </w:pPr>
    </w:lvl>
    <w:lvl w:ilvl="2">
      <w:start w:val="1"/>
      <w:numFmt w:val="decimal"/>
      <w:suff w:val="tab"/>
      <w:lvlText w:val=""/>
      <w:lvlJc w:val="left"/>
      <w:pPr>
        <w:pStyle w:val="Normal"/>
        <w:tabs>
          <w:tab w:val="left" w:pos="0" w:leader="none"/>
        </w:tabs>
        <w:ind w:left="0" w:firstLine="0"/>
      </w:pPr>
    </w:lvl>
    <w:lvl w:ilvl="3">
      <w:start w:val="1"/>
      <w:numFmt w:val="decimal"/>
      <w:suff w:val="tab"/>
      <w:lvlText w:val=""/>
      <w:lvlJc w:val="left"/>
      <w:pPr>
        <w:pStyle w:val="Normal"/>
        <w:tabs>
          <w:tab w:val="left" w:pos="0" w:leader="none"/>
        </w:tabs>
        <w:ind w:left="0" w:firstLine="0"/>
      </w:pPr>
    </w:lvl>
    <w:lvl w:ilvl="4">
      <w:start w:val="1"/>
      <w:numFmt w:val="decimal"/>
      <w:suff w:val="tab"/>
      <w:lvlText w:val=""/>
      <w:lvlJc w:val="left"/>
      <w:pPr>
        <w:pStyle w:val="Normal"/>
        <w:tabs>
          <w:tab w:val="left" w:pos="0" w:leader="none"/>
        </w:tabs>
        <w:ind w:left="0" w:firstLine="0"/>
      </w:pPr>
    </w:lvl>
    <w:lvl w:ilvl="5">
      <w:start w:val="1"/>
      <w:numFmt w:val="decimal"/>
      <w:suff w:val="tab"/>
      <w:lvlText w:val=""/>
      <w:lvlJc w:val="left"/>
      <w:pPr>
        <w:pStyle w:val="Normal"/>
        <w:tabs>
          <w:tab w:val="left" w:pos="0" w:leader="none"/>
        </w:tabs>
        <w:ind w:left="0" w:firstLine="0"/>
      </w:pPr>
    </w:lvl>
    <w:lvl w:ilvl="6">
      <w:start w:val="1"/>
      <w:numFmt w:val="decimal"/>
      <w:suff w:val="tab"/>
      <w:lvlText w:val=""/>
      <w:lvlJc w:val="left"/>
      <w:pPr>
        <w:pStyle w:val="Normal"/>
        <w:tabs>
          <w:tab w:val="left" w:pos="0" w:leader="none"/>
        </w:tabs>
        <w:ind w:left="0" w:firstLine="0"/>
      </w:pPr>
    </w:lvl>
    <w:lvl w:ilvl="7">
      <w:start w:val="1"/>
      <w:numFmt w:val="decimal"/>
      <w:suff w:val="tab"/>
      <w:lvlText w:val=""/>
      <w:lvlJc w:val="left"/>
      <w:pPr>
        <w:pStyle w:val="Normal"/>
        <w:tabs>
          <w:tab w:val="left" w:pos="0" w:leader="none"/>
        </w:tabs>
        <w:ind w:left="0" w:firstLine="0"/>
      </w:pPr>
    </w:lvl>
    <w:lvl w:ilvl="8">
      <w:start w:val="1"/>
      <w:numFmt w:val="decimal"/>
      <w:suff w:val="tab"/>
      <w:lvlText w:val=""/>
      <w:lvlJc w:val="left"/>
      <w:pPr>
        <w:pStyle w:val="Normal"/>
        <w:tabs>
          <w:tab w:val="left" w:pos="0" w:leader="none"/>
        </w:tabs>
        <w:ind w:left="0" w:firstLine="0"/>
      </w:p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160" w:line="259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table" w:styleId="TableGrid">
    <w:name w:val="Сетка таблицы"/>
    <w:basedOn w:val="TableNormal"/>
    <w:next w:val="TableGrid"/>
    <w:link w:val="Normal"/>
    <w:uiPriority w:val="39"/>
    <w:pPr>
      <w:spacing w:after="0" w:line="240" w:lineRule="auto"/>
    </w:pPr>
  </w:style>
  <w:style w:type="paragraph" w:styleId="Acetate">
    <w:name w:val="Текст выноски"/>
    <w:basedOn w:val="Normal"/>
    <w:next w:val="Acetate"/>
    <w:link w:val="UserStyle_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UserStyle_0">
    <w:name w:val="Текст выноски Знак"/>
    <w:next w:val="UserStyle_0"/>
    <w:link w:val="Acetate"/>
    <w:uiPriority w:val="99"/>
    <w:semiHidden/>
    <w:rPr>
      <w:rFonts w:ascii="Segoe UI" w:hAnsi="Segoe UI" w:cs="Segoe UI"/>
      <w:sz w:val="18"/>
      <w:szCs w:val="18"/>
    </w:rPr>
  </w:style>
  <w:style w:type="table" w:styleId="UserStyle_1">
    <w:name w:val="Сетка таблицы1"/>
    <w:basedOn w:val="TableNormal"/>
    <w:next w:val="TableGrid"/>
    <w:link w:val="Normal"/>
    <w:pPr>
      <w:spacing w:after="8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UserStyle_2">
    <w:name w:val="Table Paragraph"/>
    <w:basedOn w:val="Normal"/>
    <w:next w:val="UserStyle_2"/>
    <w:link w:val="Normal"/>
    <w:uiPriority w:val="1"/>
    <w:qFormat/>
    <w:pPr>
      <w:widowControl w:val="off"/>
      <w:spacing w:before="1" w:after="0" w:line="240" w:lineRule="auto"/>
      <w:ind w:left="109"/>
    </w:pPr>
    <w:rPr>
      <w:rFonts w:ascii="Times New Roman" w:hAnsi="Times New Roman" w:eastAsia="Times New Roman"/>
    </w:rPr>
  </w:style>
  <w:style w:type="paragraph" w:styleId="UserStyle_3">
    <w:name w:val="Standard"/>
    <w:next w:val="UserStyle_3"/>
    <w:link w:val="Normal"/>
    <w:pPr>
      <w:spacing w:after="160" w:line="256" w:lineRule="auto"/>
    </w:pPr>
    <w:rPr>
      <w:rFonts w:eastAsia="SimSun" w:cs="F"/>
      <w:sz w:val="22"/>
      <w:szCs w:val="22"/>
      <w:lang w:val="ru-RU" w:eastAsia="en-US" w:bidi="ar-SA"/>
    </w:rPr>
  </w:style>
  <w:style w:type="character" w:styleId="AnnotationReference">
    <w:name w:val="Знак примечания"/>
    <w:next w:val="AnnotationReference"/>
    <w:link w:val="Normal"/>
    <w:uiPriority w:val="99"/>
    <w:semiHidden/>
    <w:unhideWhenUsed/>
    <w:rPr>
      <w:sz w:val="16"/>
      <w:szCs w:val="16"/>
    </w:rPr>
  </w:style>
  <w:style w:type="paragraph" w:styleId="AnnotationText">
    <w:name w:val="Текст примечания"/>
    <w:basedOn w:val="Normal"/>
    <w:next w:val="AnnotationText"/>
    <w:link w:val="UserStyle_4"/>
    <w:uiPriority w:val="99"/>
    <w:semiHidden/>
    <w:unhideWhenUsed/>
    <w:rPr>
      <w:sz w:val="20"/>
      <w:szCs w:val="20"/>
    </w:rPr>
  </w:style>
  <w:style w:type="character" w:styleId="UserStyle_4">
    <w:name w:val="Текст примечания Знак"/>
    <w:next w:val="UserStyle_4"/>
    <w:link w:val="AnnotationText"/>
    <w:uiPriority w:val="99"/>
    <w:semiHidden/>
    <w:rPr>
      <w:lang w:eastAsia="en-US"/>
    </w:rPr>
  </w:style>
  <w:style w:type="paragraph" w:styleId="AnnotationSubject">
    <w:name w:val="Тема примечания"/>
    <w:basedOn w:val="AnnotationText"/>
    <w:next w:val="AnnotationText"/>
    <w:link w:val="UserStyle_5"/>
    <w:uiPriority w:val="99"/>
    <w:semiHidden/>
    <w:unhideWhenUsed/>
    <w:rPr>
      <w:b/>
      <w:bCs/>
    </w:rPr>
  </w:style>
  <w:style w:type="character" w:styleId="UserStyle_5">
    <w:name w:val="Тема примечания Знак"/>
    <w:next w:val="UserStyle_5"/>
    <w:link w:val="AnnotationSubject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4081</Characters>
  <CharactersWithSpaces>4787</CharactersWithSpaces>
  <DocSecurity>0</DocSecurity>
  <HyperlinksChanged>false</HyperlinksChanged>
  <Lines>34</Lines>
  <Pages>2</Pages>
  <Paragraphs>9</Paragraphs>
  <ScaleCrop>false</ScaleCrop>
  <SharedDoc>false</SharedDoc>
  <Template>Normal</Template>
  <Words>715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Зуева</dc:creator>
  <cp:lastModifiedBy>sgulya</cp:lastModifiedBy>
  <cp:revision>46</cp:revision>
  <dcterms:created xsi:type="dcterms:W3CDTF">2026-08-31T06:17:00Z</dcterms:created>
  <dcterms:modified xsi:type="dcterms:W3CDTF">2026-09-29T09:22:00Z</dcterms:modified>
  <cp:version>1048576</cp:version>
</cp:coreProperties>
</file>