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xml" ContentType="application/vnd.openxmlformats-officedocument.wordprocessingml.comments+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commentsExtensible.xml" ContentType="application/vnd.openxmlformats-officedocument.wordprocessingml.commentsExtensible+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jc w:val="center"/>
        <w:rPr>
          <w:b/>
        </w:rPr>
      </w:pPr>
      <w:r>
        <w:rPr>
          <w:b/>
        </w:rPr>
        <w:t xml:space="preserve">Д</w:t>
      </w:r>
      <w:r>
        <w:rPr>
          <w:b/>
        </w:rPr>
        <w:t xml:space="preserve">ОГОВОР № </w:t>
      </w:r>
      <w:r>
        <w:rPr>
          <w:b/>
        </w:rPr>
        <w:t xml:space="preserve">_________</w:t>
      </w:r>
      <w:r>
        <w:rPr>
          <w:b/>
        </w:rPr>
      </w:r>
      <w:r>
        <w:rPr>
          <w:b/>
        </w:rPr>
      </w:r>
    </w:p>
    <w:p>
      <w:pPr>
        <w:pStyle w:val="690"/>
        <w:jc w:val="center"/>
      </w:pPr>
      <w:r>
        <w:rPr>
          <w:b/>
        </w:rPr>
        <w:t xml:space="preserve">на </w:t>
      </w:r>
      <w:r>
        <w:rPr>
          <w:b/>
        </w:rPr>
        <w:t xml:space="preserve">оказание услуг по страхованию имущества</w:t>
      </w:r>
      <w:r/>
    </w:p>
    <w:p>
      <w:pPr>
        <w:pStyle w:val="690"/>
        <w:jc w:val="center"/>
      </w:pPr>
      <w:r>
        <w:t xml:space="preserve">г. </w:t>
      </w:r>
      <w:r>
        <w:t xml:space="preserve">Благовещенск</w:t>
      </w:r>
      <w:r>
        <w:tab/>
        <w:tab/>
        <w:tab/>
        <w:tab/>
        <w:tab/>
        <w:tab/>
        <w:tab/>
      </w:r>
      <w:r>
        <w:t xml:space="preserve">«</w:t>
      </w:r>
      <w:r>
        <w:t xml:space="preserve">__</w:t>
      </w:r>
      <w:r>
        <w:t xml:space="preserve">» </w:t>
      </w:r>
      <w:r>
        <w:t xml:space="preserve">________</w:t>
      </w:r>
      <w:r>
        <w:t xml:space="preserve"> 20</w:t>
      </w:r>
      <w:r>
        <w:t xml:space="preserve">2</w:t>
      </w:r>
      <w:r>
        <w:t xml:space="preserve">_</w:t>
      </w:r>
      <w:r>
        <w:t xml:space="preserve"> г.</w:t>
      </w:r>
      <w:r/>
    </w:p>
    <w:p>
      <w:pPr>
        <w:pStyle w:val="690"/>
        <w:jc w:val="both"/>
      </w:pPr>
      <w:r/>
      <w:r/>
    </w:p>
    <w:p>
      <w:pPr>
        <w:pStyle w:val="690"/>
        <w:ind w:firstLine="709"/>
        <w:jc w:val="both"/>
      </w:pPr>
      <w:r>
        <w:t xml:space="preserve">Общество с ограниченной ответственности «Полигон»</w:t>
      </w:r>
      <w:r>
        <w:t xml:space="preserve"> </w:t>
      </w:r>
      <w:r>
        <w:t xml:space="preserve">(далее – «Страхователь»), в лице </w:t>
      </w:r>
      <w:r>
        <w:t xml:space="preserve">Федорченко Светланы Александровны</w:t>
      </w:r>
      <w:r>
        <w:t xml:space="preserve">, действующе</w:t>
      </w:r>
      <w:r>
        <w:t xml:space="preserve">го</w:t>
      </w:r>
      <w:r>
        <w:t xml:space="preserve"> на основании </w:t>
      </w:r>
      <w:r>
        <w:t xml:space="preserve">Устава</w:t>
      </w:r>
      <w:r>
        <w:t xml:space="preserve">,</w:t>
      </w:r>
      <w:r>
        <w:t xml:space="preserve"> </w:t>
      </w:r>
      <w:r>
        <w:t xml:space="preserve">с одной Стороны</w:t>
      </w:r>
      <w:r>
        <w:t xml:space="preserve"> </w:t>
      </w:r>
      <w:r>
        <w:t xml:space="preserve">и </w:t>
      </w:r>
      <w:r>
        <w:t xml:space="preserve">_________________________ в лице ___________________________ действующ__ на основании _______________________ </w:t>
      </w:r>
      <w:r>
        <w:t xml:space="preserve">с другой </w:t>
      </w:r>
      <w:r>
        <w:t xml:space="preserve">Сторон</w:t>
      </w:r>
      <w:r>
        <w:t xml:space="preserve">ы</w:t>
      </w:r>
      <w:r>
        <w:t xml:space="preserve"> </w:t>
      </w:r>
      <w:r>
        <w:t xml:space="preserve">(далее – «Страховщик</w:t>
      </w:r>
      <w:r>
        <w:t xml:space="preserve">»</w:t>
      </w:r>
      <w:r>
        <w:t xml:space="preserve">)</w:t>
      </w:r>
      <w:r>
        <w:t xml:space="preserve"> (далее </w:t>
      </w:r>
      <w:r>
        <w:t xml:space="preserve">совместно </w:t>
      </w:r>
      <w:r>
        <w:t xml:space="preserve">– «Стороны»), заключили настоящий договор о нижеследующем:</w:t>
      </w:r>
      <w:r/>
    </w:p>
    <w:p>
      <w:pPr>
        <w:pStyle w:val="690"/>
        <w:ind w:right="709"/>
        <w:jc w:val="both"/>
      </w:pPr>
      <w:r/>
      <w:r/>
    </w:p>
    <w:p>
      <w:pPr>
        <w:pStyle w:val="690"/>
        <w:jc w:val="center"/>
        <w:rPr>
          <w:b/>
        </w:rPr>
      </w:pPr>
      <w:r>
        <w:rPr>
          <w:b/>
        </w:rPr>
        <w:t xml:space="preserve">1. ПРЕДМЕТ ДОГОВОРА</w:t>
      </w:r>
      <w:r>
        <w:rPr>
          <w:b/>
        </w:rPr>
      </w:r>
      <w:r>
        <w:rPr>
          <w:b/>
        </w:rPr>
      </w:r>
    </w:p>
    <w:p>
      <w:pPr>
        <w:pStyle w:val="690"/>
        <w:ind w:firstLine="709"/>
        <w:jc w:val="both"/>
      </w:pPr>
      <w:r>
        <w:t xml:space="preserve">1.1. По настоящему договор</w:t>
      </w:r>
      <w:r>
        <w:t xml:space="preserve">у Страховщик обязуется за обусловленную договором плату (страховую премию) при наступлении предусмотренного в договоре события (страхового случая) возместить Страхователю или иному лицу, в пользу которого заключен договор страхования (</w:t>
      </w:r>
      <w:commentRangeStart w:id="0"/>
      <w:r>
        <w:t xml:space="preserve">Выгодоприобретателю</w:t>
      </w:r>
      <w:commentRangeEnd w:id="0"/>
      <w:r>
        <w:commentReference w:id="0"/>
      </w:r>
      <w:r>
        <w:t xml:space="preserve">) </w:t>
      </w:r>
      <w:r>
        <w:t xml:space="preserve">причиненные вследствие этого события </w:t>
      </w:r>
      <w:r>
        <w:t xml:space="preserve">убытки</w:t>
      </w:r>
      <w:r>
        <w:t xml:space="preserve"> в застрахованном имуществе (выплатить страховое возмещение) в пределах определенной договором суммы (страховой суммы) и с учетом условий договора страхования (объема страхового покрытия)</w:t>
      </w:r>
      <w:r>
        <w:t xml:space="preserve">.</w:t>
      </w:r>
      <w:r/>
    </w:p>
    <w:p>
      <w:pPr>
        <w:pStyle w:val="690"/>
        <w:ind w:firstLine="709"/>
        <w:jc w:val="both"/>
      </w:pPr>
      <w:r>
        <w:t xml:space="preserve">1.2. Договор страхования заключен в </w:t>
      </w:r>
      <w:r>
        <w:t xml:space="preserve">соответствии с «Правилами страхования от огня и других опасностей имущества юр</w:t>
      </w:r>
      <w:r>
        <w:t xml:space="preserve">идических лиц</w:t>
      </w:r>
      <w:r>
        <w:t xml:space="preserve"> в действующей редакции (далее – «Правила»)</w:t>
      </w:r>
      <w:r>
        <w:t xml:space="preserve"> (Приложение № 1 к настоящему договору) на основании Заявления на страхование (Приложение № 2 к настоящему договору)</w:t>
      </w:r>
      <w:r>
        <w:t xml:space="preserve">.</w:t>
      </w:r>
      <w:r/>
    </w:p>
    <w:p>
      <w:pPr>
        <w:pStyle w:val="690"/>
        <w:ind w:firstLine="709"/>
        <w:jc w:val="both"/>
      </w:pPr>
      <w:r>
        <w:t xml:space="preserve">1.3. </w:t>
      </w:r>
      <w:r>
        <w:t xml:space="preserve">Объектом страхования являются не противоречащие действующему законодательству Российской Федерации имущественные интересы Страхователя (Выгодоприобретателя), связанные с</w:t>
      </w:r>
      <w:r>
        <w:t xml:space="preserve"> </w:t>
      </w:r>
      <w:r>
        <w:t xml:space="preserve">риском утраты (гибели), или повреждения имущества, указанного в </w:t>
      </w:r>
      <w:r>
        <w:t xml:space="preserve">п. 2.2. </w:t>
      </w:r>
      <w:r>
        <w:t xml:space="preserve">настоящего д</w:t>
      </w:r>
      <w:r>
        <w:t xml:space="preserve">оговора</w:t>
      </w:r>
      <w:r>
        <w:t xml:space="preserve">.</w:t>
      </w:r>
      <w:r/>
    </w:p>
    <w:p>
      <w:pPr>
        <w:pStyle w:val="690"/>
        <w:jc w:val="both"/>
      </w:pPr>
      <w:r/>
      <w:r/>
    </w:p>
    <w:p>
      <w:pPr>
        <w:pStyle w:val="690"/>
        <w:jc w:val="center"/>
        <w:rPr>
          <w:b/>
        </w:rPr>
      </w:pPr>
      <w:r>
        <w:rPr>
          <w:b/>
        </w:rPr>
        <w:t xml:space="preserve">2. УСЛОВИЯ СТРАХОВАНИЯ</w:t>
      </w:r>
      <w:r>
        <w:rPr>
          <w:b/>
        </w:rPr>
      </w:r>
    </w:p>
    <w:p>
      <w:pPr>
        <w:pStyle w:val="690"/>
        <w:ind w:firstLine="720"/>
        <w:jc w:val="both"/>
      </w:pPr>
      <w:r>
        <w:t xml:space="preserve">2.1. По настоящему договору подлежит страхованию имущество Страхователя,</w:t>
      </w:r>
      <w:r>
        <w:t xml:space="preserve"> в соответствии с Заявлением на страхование (Приложение №</w:t>
      </w:r>
      <w:r>
        <w:t xml:space="preserve"> </w:t>
      </w:r>
      <w:r>
        <w:t xml:space="preserve">2), указанное в п. 2.2.</w:t>
      </w:r>
      <w:r>
        <w:t xml:space="preserve"> настоящего договора.</w:t>
      </w:r>
      <w:r/>
    </w:p>
    <w:p>
      <w:pPr>
        <w:pStyle w:val="690"/>
        <w:ind w:firstLine="720"/>
        <w:jc w:val="both"/>
      </w:pPr>
      <w:r>
        <w:t xml:space="preserve">2.2. </w:t>
      </w:r>
      <w:r>
        <w:t xml:space="preserve">Застрахованные объекты</w:t>
      </w:r>
      <w:r>
        <w:t xml:space="preserve"> указаны в Таблице:</w:t>
      </w:r>
      <w:r/>
    </w:p>
    <w:tbl>
      <w:tblPr>
        <w:tblW w:w="48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88"/>
        <w:gridCol w:w="2518"/>
        <w:gridCol w:w="1366"/>
        <w:gridCol w:w="1128"/>
        <w:gridCol w:w="11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2278" w:type="pct"/>
            <w:vAlign w:val="center"/>
            <w:textDirection w:val="lrTb"/>
            <w:noWrap w:val="false"/>
          </w:tcPr>
          <w:p>
            <w:pPr>
              <w:pStyle w:val="690"/>
              <w:jc w:val="center"/>
            </w:pPr>
            <w:r>
              <w:t xml:space="preserve">Застрахованные объекты</w:t>
            </w:r>
            <w:r>
              <w:t xml:space="preserve"> </w:t>
            </w:r>
            <w:r/>
          </w:p>
        </w:tc>
        <w:tc>
          <w:tcPr>
            <w:tcBorders>
              <w:bottom w:val="single" w:color="000000" w:sz="4" w:space="0"/>
            </w:tcBorders>
            <w:tcW w:w="851" w:type="pct"/>
            <w:vAlign w:val="top"/>
            <w:textDirection w:val="lrTb"/>
            <w:noWrap w:val="false"/>
          </w:tcPr>
          <w:p>
            <w:pPr>
              <w:pStyle w:val="690"/>
              <w:jc w:val="center"/>
            </w:pPr>
            <w:r>
              <w:t xml:space="preserve">Территория страхования</w:t>
            </w:r>
            <w:r>
              <w:t xml:space="preserve"> (адрес)</w:t>
            </w:r>
            <w:r/>
          </w:p>
        </w:tc>
        <w:tc>
          <w:tcPr>
            <w:tcW w:w="670" w:type="pct"/>
            <w:vAlign w:val="center"/>
            <w:textDirection w:val="lrTb"/>
            <w:noWrap w:val="false"/>
          </w:tcPr>
          <w:p>
            <w:pPr>
              <w:pStyle w:val="690"/>
              <w:jc w:val="center"/>
            </w:pPr>
            <w:r>
              <w:t xml:space="preserve">Страховая сумма, руб.</w:t>
            </w:r>
            <w:r/>
          </w:p>
        </w:tc>
        <w:tc>
          <w:tcPr>
            <w:tcW w:w="565" w:type="pct"/>
            <w:vAlign w:val="center"/>
            <w:textDirection w:val="lrTb"/>
            <w:noWrap w:val="false"/>
          </w:tcPr>
          <w:p>
            <w:pPr>
              <w:pStyle w:val="690"/>
              <w:jc w:val="center"/>
            </w:pPr>
            <w:r>
              <w:t xml:space="preserve">Страховой тариф, %</w:t>
            </w:r>
            <w:r/>
          </w:p>
        </w:tc>
        <w:tc>
          <w:tcPr>
            <w:tcW w:w="637" w:type="pct"/>
            <w:vAlign w:val="center"/>
            <w:textDirection w:val="lrTb"/>
            <w:noWrap w:val="false"/>
          </w:tcPr>
          <w:p>
            <w:pPr>
              <w:pStyle w:val="690"/>
              <w:jc w:val="center"/>
            </w:pPr>
            <w:r>
              <w:t xml:space="preserve">Страховая премия, руб.</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right w:val="single" w:color="000000" w:sz="4" w:space="0"/>
            </w:tcBorders>
            <w:tcW w:w="2278" w:type="pct"/>
            <w:vAlign w:val="top"/>
            <w:textDirection w:val="lrTb"/>
            <w:noWrap w:val="false"/>
          </w:tcPr>
          <w:p>
            <w:pPr>
              <w:pStyle w:val="690"/>
            </w:pPr>
            <w:r/>
            <w:commentRangeStart w:id="1"/>
            <w:r>
              <w:t xml:space="preserve">а) </w:t>
            </w:r>
            <w:r>
              <w:t xml:space="preserve"> </w:t>
            </w:r>
            <w:r>
              <w:rPr>
                <w:rFonts w:ascii="Wingdings" w:hAnsi="Wingdings" w:eastAsia="Wingdings" w:cs="Wingdings"/>
              </w:rPr>
              <w:t xml:space="preserve">þ</w:t>
            </w:r>
            <w:r>
              <w:t xml:space="preserve"> здания</w:t>
            </w:r>
            <w:r>
              <w:t xml:space="preserve">, </w:t>
            </w:r>
            <w:r>
              <w:rPr>
                <w:rFonts w:ascii="Wingdings" w:hAnsi="Wingdings" w:eastAsia="Wingdings" w:cs="Wingdings"/>
              </w:rPr>
              <w:t xml:space="preserve">þ</w:t>
            </w:r>
            <w:r>
              <w:t xml:space="preserve"> сооружения</w:t>
            </w:r>
            <w:r>
              <w:t xml:space="preserve">, включая:</w:t>
            </w:r>
            <w:r/>
          </w:p>
          <w:p>
            <w:pPr>
              <w:pStyle w:val="690"/>
            </w:pPr>
            <w:r>
              <w:rPr>
                <w:rFonts w:ascii="Wingdings" w:hAnsi="Wingdings" w:eastAsia="Wingdings" w:cs="Wingdings"/>
              </w:rPr>
              <w:t xml:space="preserve">þ</w:t>
            </w:r>
            <w:r>
              <w:t xml:space="preserve"> конструктивные элементы (конструкции)</w:t>
            </w:r>
            <w:r/>
          </w:p>
          <w:p>
            <w:pPr>
              <w:pStyle w:val="690"/>
            </w:pPr>
            <w:r>
              <w:t xml:space="preserve">в соответствии с Описью (Приложение № </w:t>
            </w:r>
            <w:r>
              <w:t xml:space="preserve">_</w:t>
            </w:r>
            <w:r>
              <w:t xml:space="preserve"> к договору)</w:t>
            </w:r>
            <w:r/>
          </w:p>
        </w:tc>
        <w:tc>
          <w:tcPr>
            <w:tcBorders>
              <w:top w:val="single" w:color="000000" w:sz="4" w:space="0"/>
              <w:left w:val="single" w:color="000000" w:sz="4" w:space="0"/>
              <w:right w:val="single" w:color="000000" w:sz="4" w:space="0"/>
            </w:tcBorders>
            <w:tcW w:w="851" w:type="pct"/>
            <w:vAlign w:val="center"/>
            <w:vMerge w:val="restart"/>
            <w:textDirection w:val="lrTb"/>
            <w:noWrap w:val="false"/>
          </w:tcPr>
          <w:p>
            <w:pPr>
              <w:pStyle w:val="690"/>
            </w:pPr>
            <w:r>
              <w:t xml:space="preserve">Амурская область, г. Благовещенск, 10 км.</w:t>
            </w:r>
            <w:r/>
          </w:p>
          <w:p>
            <w:pPr>
              <w:pStyle w:val="690"/>
            </w:pPr>
            <w:r>
              <w:t xml:space="preserve">Новотроицкого шоссе</w:t>
            </w:r>
            <w:r>
              <w:t xml:space="preserve"> мусороперерабатывающий комплекс </w:t>
            </w:r>
            <w:r/>
          </w:p>
        </w:tc>
        <w:tc>
          <w:tcPr>
            <w:tcBorders>
              <w:left w:val="single" w:color="000000" w:sz="4" w:space="0"/>
            </w:tcBorders>
            <w:tcW w:w="670" w:type="pct"/>
            <w:vAlign w:val="center"/>
            <w:textDirection w:val="lrTb"/>
            <w:noWrap w:val="false"/>
          </w:tcPr>
          <w:p>
            <w:pPr>
              <w:pStyle w:val="690"/>
              <w:jc w:val="center"/>
            </w:pPr>
            <w:r>
              <w:t xml:space="preserve">28 816 536,80</w:t>
            </w:r>
            <w:r/>
          </w:p>
        </w:tc>
        <w:tc>
          <w:tcPr>
            <w:tcW w:w="565" w:type="pct"/>
            <w:vAlign w:val="center"/>
            <w:textDirection w:val="lrTb"/>
            <w:noWrap w:val="false"/>
          </w:tcPr>
          <w:p>
            <w:pPr>
              <w:pStyle w:val="690"/>
              <w:jc w:val="center"/>
            </w:pPr>
            <w:r/>
            <w:r/>
          </w:p>
        </w:tc>
        <w:tc>
          <w:tcPr>
            <w:tcW w:w="637" w:type="pct"/>
            <w:vAlign w:val="center"/>
            <w:textDirection w:val="lrTb"/>
            <w:noWrap w:val="false"/>
          </w:tcPr>
          <w:p>
            <w:pPr>
              <w:pStyle w:val="690"/>
              <w:jc w:val="center"/>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right w:val="single" w:color="000000" w:sz="4" w:space="0"/>
            </w:tcBorders>
            <w:tcW w:w="2278" w:type="pct"/>
            <w:vAlign w:val="top"/>
            <w:textDirection w:val="lrTb"/>
            <w:noWrap w:val="false"/>
          </w:tcPr>
          <w:p>
            <w:pPr>
              <w:pStyle w:val="690"/>
            </w:pPr>
            <w:r>
              <w:t xml:space="preserve">б)  </w:t>
            </w:r>
            <w:r>
              <w:rPr>
                <w:rFonts w:ascii="Wingdings" w:hAnsi="Wingdings" w:eastAsia="Wingdings" w:cs="Wingdings"/>
              </w:rPr>
              <w:t xml:space="preserve">þ</w:t>
            </w:r>
            <w:r>
              <w:t xml:space="preserve"> технологическое, промышленное, производственное оборудование, торговое оборудование, инструменты и инвентарь в соотв</w:t>
            </w:r>
            <w:r>
              <w:t xml:space="preserve">етствии с Описью (Приложение № </w:t>
            </w:r>
            <w:r>
              <w:t xml:space="preserve">_</w:t>
            </w:r>
            <w:r>
              <w:t xml:space="preserve"> к договору)</w:t>
            </w:r>
            <w:r/>
            <w:commentRangeEnd w:id="1"/>
            <w:r>
              <w:commentReference w:id="1"/>
            </w:r>
            <w:r/>
            <w:r/>
          </w:p>
        </w:tc>
        <w:tc>
          <w:tcPr>
            <w:tcBorders>
              <w:left w:val="single" w:color="000000" w:sz="4" w:space="0"/>
              <w:bottom w:val="single" w:color="000000" w:sz="4" w:space="0"/>
              <w:right w:val="single" w:color="000000" w:sz="4" w:space="0"/>
            </w:tcBorders>
            <w:tcW w:w="851" w:type="pct"/>
            <w:vAlign w:val="top"/>
            <w:vMerge w:val="continue"/>
            <w:textDirection w:val="lrTb"/>
            <w:noWrap w:val="false"/>
          </w:tcPr>
          <w:p>
            <w:pPr>
              <w:pStyle w:val="690"/>
              <w:jc w:val="center"/>
            </w:pPr>
            <w:r/>
            <w:r/>
          </w:p>
        </w:tc>
        <w:tc>
          <w:tcPr>
            <w:tcBorders>
              <w:left w:val="single" w:color="000000" w:sz="4" w:space="0"/>
            </w:tcBorders>
            <w:tcW w:w="670" w:type="pct"/>
            <w:vAlign w:val="center"/>
            <w:textDirection w:val="lrTb"/>
            <w:noWrap w:val="false"/>
          </w:tcPr>
          <w:p>
            <w:pPr>
              <w:pStyle w:val="690"/>
              <w:jc w:val="center"/>
            </w:pPr>
            <w:r>
              <w:t xml:space="preserve">42 006 343,38</w:t>
            </w:r>
            <w:r/>
          </w:p>
        </w:tc>
        <w:tc>
          <w:tcPr>
            <w:tcW w:w="565" w:type="pct"/>
            <w:vAlign w:val="center"/>
            <w:textDirection w:val="lrTb"/>
            <w:noWrap w:val="false"/>
          </w:tcPr>
          <w:p>
            <w:pPr>
              <w:pStyle w:val="690"/>
              <w:jc w:val="center"/>
            </w:pPr>
            <w:r/>
            <w:r/>
          </w:p>
        </w:tc>
        <w:tc>
          <w:tcPr>
            <w:tcW w:w="637" w:type="pct"/>
            <w:vAlign w:val="center"/>
            <w:textDirection w:val="lrTb"/>
            <w:noWrap w:val="false"/>
          </w:tcPr>
          <w:p>
            <w:pPr>
              <w:pStyle w:val="690"/>
              <w:jc w:val="center"/>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right w:val="single" w:color="000000" w:sz="4" w:space="0"/>
            </w:tcBorders>
            <w:tcW w:w="2278" w:type="pct"/>
            <w:vAlign w:val="top"/>
            <w:textDirection w:val="lrTb"/>
            <w:noWrap w:val="false"/>
          </w:tcPr>
          <w:p>
            <w:pPr>
              <w:pStyle w:val="690"/>
              <w:jc w:val="right"/>
            </w:pPr>
            <w:r>
              <w:t xml:space="preserve">ИТОГО</w:t>
            </w:r>
            <w:r/>
          </w:p>
        </w:tc>
        <w:tc>
          <w:tcPr>
            <w:tcBorders>
              <w:top w:val="single" w:color="000000" w:sz="4" w:space="0"/>
              <w:left w:val="single" w:color="000000" w:sz="4" w:space="0"/>
              <w:bottom w:val="single" w:color="000000" w:sz="4" w:space="0"/>
              <w:right w:val="single" w:color="000000" w:sz="4" w:space="0"/>
            </w:tcBorders>
            <w:tcW w:w="851" w:type="pct"/>
            <w:vAlign w:val="top"/>
            <w:textDirection w:val="lrTb"/>
            <w:noWrap w:val="false"/>
          </w:tcPr>
          <w:p>
            <w:pPr>
              <w:pStyle w:val="690"/>
              <w:jc w:val="center"/>
            </w:pPr>
            <w:r/>
            <w:r/>
          </w:p>
        </w:tc>
        <w:tc>
          <w:tcPr>
            <w:tcBorders>
              <w:left w:val="single" w:color="000000" w:sz="4" w:space="0"/>
            </w:tcBorders>
            <w:tcW w:w="670" w:type="pct"/>
            <w:vAlign w:val="center"/>
            <w:textDirection w:val="lrTb"/>
            <w:noWrap w:val="false"/>
          </w:tcPr>
          <w:p>
            <w:pPr>
              <w:pStyle w:val="690"/>
              <w:jc w:val="center"/>
            </w:pPr>
            <w:r>
              <w:t xml:space="preserve">70 822 880,18</w:t>
            </w:r>
            <w:r/>
          </w:p>
        </w:tc>
        <w:tc>
          <w:tcPr>
            <w:tcW w:w="565" w:type="pct"/>
            <w:vAlign w:val="center"/>
            <w:textDirection w:val="lrTb"/>
            <w:noWrap w:val="false"/>
          </w:tcPr>
          <w:p>
            <w:pPr>
              <w:pStyle w:val="690"/>
              <w:jc w:val="center"/>
            </w:pPr>
            <w:r/>
            <w:r/>
          </w:p>
        </w:tc>
        <w:tc>
          <w:tcPr>
            <w:tcW w:w="637" w:type="pct"/>
            <w:vAlign w:val="center"/>
            <w:textDirection w:val="lrTb"/>
            <w:noWrap w:val="false"/>
          </w:tcPr>
          <w:p>
            <w:pPr>
              <w:pStyle w:val="690"/>
              <w:jc w:val="center"/>
            </w:pPr>
            <w:r/>
            <w:r/>
          </w:p>
        </w:tc>
      </w:tr>
    </w:tbl>
    <w:p>
      <w:pPr>
        <w:pStyle w:val="690"/>
        <w:ind w:firstLine="720"/>
        <w:jc w:val="both"/>
      </w:pPr>
      <w:r>
        <w:rPr>
          <w:spacing w:val="2"/>
          <w:shd w:val="clear" w:color="auto" w:fill="ffffff"/>
        </w:rPr>
        <w:t xml:space="preserve">2.2.1.</w:t>
      </w:r>
      <w:r>
        <w:rPr>
          <w:spacing w:val="2"/>
          <w:shd w:val="clear" w:color="auto" w:fill="ffffff"/>
        </w:rPr>
        <w:t xml:space="preserve"> </w:t>
      </w:r>
      <w:r>
        <w:t xml:space="preserve">Общая страховая сумма по </w:t>
      </w:r>
      <w:r>
        <w:t xml:space="preserve">д</w:t>
      </w:r>
      <w:r>
        <w:t xml:space="preserve">оговору </w:t>
      </w:r>
      <w:r>
        <w:t xml:space="preserve">–</w:t>
      </w:r>
      <w:r>
        <w:t xml:space="preserve"> </w:t>
      </w:r>
      <w:r>
        <w:t xml:space="preserve">70 822 880</w:t>
      </w:r>
      <w:r>
        <w:t xml:space="preserve"> (</w:t>
      </w:r>
      <w:r>
        <w:t xml:space="preserve">семьдесят миллионов восемьсот двадцать две тысячи восемьсот восемьдесят</w:t>
      </w:r>
      <w:r>
        <w:t xml:space="preserve">) руб. </w:t>
      </w:r>
      <w:r>
        <w:t xml:space="preserve">18</w:t>
      </w:r>
      <w:r>
        <w:t xml:space="preserve"> копеек</w:t>
      </w:r>
      <w:r>
        <w:t xml:space="preserve"> заявлена Страхователем.</w:t>
      </w:r>
      <w:r/>
    </w:p>
    <w:p>
      <w:pPr>
        <w:pStyle w:val="690"/>
        <w:ind w:firstLine="720"/>
        <w:jc w:val="both"/>
      </w:pPr>
      <w:r>
        <w:rPr>
          <w:spacing w:val="2"/>
          <w:shd w:val="clear" w:color="auto" w:fill="ffffff"/>
        </w:rPr>
        <w:t xml:space="preserve">2.2.2.</w:t>
      </w:r>
      <w:r>
        <w:rPr>
          <w:spacing w:val="2"/>
          <w:shd w:val="clear" w:color="auto" w:fill="ffffff"/>
        </w:rPr>
        <w:t xml:space="preserve"> </w:t>
      </w:r>
      <w:commentRangeStart w:id="2"/>
      <w:r>
        <w:rPr>
          <w:spacing w:val="2"/>
          <w:shd w:val="clear" w:color="auto" w:fill="ffffff"/>
        </w:rPr>
        <w:t xml:space="preserve">Стороны пришли к соглашению, что страховая стоимость </w:t>
      </w:r>
      <w:r>
        <w:t xml:space="preserve">имущества на момент заключения </w:t>
      </w:r>
      <w:r>
        <w:t xml:space="preserve">д</w:t>
      </w:r>
      <w:r>
        <w:t xml:space="preserve">оговора страхования не определяется.</w:t>
      </w:r>
      <w:commentRangeEnd w:id="2"/>
      <w:r>
        <w:commentReference w:id="2"/>
      </w:r>
      <w:r>
        <w:t xml:space="preserve"> При этом, страховая стоимость определяется на дату наступления страхового случая. </w:t>
      </w:r>
      <w:r>
        <w:t xml:space="preserve">Для </w:t>
      </w:r>
      <w:r>
        <w:t xml:space="preserve">п. «б» Таблицы п. 2.2.</w:t>
      </w:r>
      <w:r>
        <w:t xml:space="preserve">, указанного в </w:t>
      </w:r>
      <w:r>
        <w:t xml:space="preserve">П</w:t>
      </w:r>
      <w:r>
        <w:t xml:space="preserve">риложени</w:t>
      </w:r>
      <w:r>
        <w:t xml:space="preserve">ях №</w:t>
      </w:r>
      <w:r>
        <w:t xml:space="preserve">№__</w:t>
      </w:r>
      <w:r>
        <w:t xml:space="preserve">, страховая стоимость</w:t>
      </w:r>
      <w:r>
        <w:t xml:space="preserve"> </w:t>
      </w:r>
      <w:r>
        <w:t xml:space="preserve">определяется для каждой </w:t>
      </w:r>
      <w:r>
        <w:t xml:space="preserve">единицы</w:t>
      </w:r>
      <w:r>
        <w:t xml:space="preserve"> имущества</w:t>
      </w:r>
      <w:r>
        <w:t xml:space="preserve">/ номенклатурной группы </w:t>
      </w:r>
      <w:r>
        <w:t xml:space="preserve">отдельно. </w:t>
      </w:r>
      <w:r>
        <w:t xml:space="preserve">Если страховая стоимость на дату наступления страхового случая превысит страховую сумму,</w:t>
      </w:r>
      <w:r>
        <w:t xml:space="preserve"> </w:t>
      </w:r>
      <w:r>
        <w:t xml:space="preserve">Страховщик</w:t>
      </w:r>
      <w:r>
        <w:rPr>
          <w:shd w:val="clear" w:color="auto" w:fill="ffffff"/>
        </w:rPr>
        <w:t xml:space="preserve"> уменьшает сумму страховой выплаты пропорционально отношению страховой суммы к страховой стоимости на дату наступления страхового случая. Если страховая сумма, указанная в договор</w:t>
      </w:r>
      <w:r>
        <w:rPr>
          <w:shd w:val="clear" w:color="auto" w:fill="ffffff"/>
        </w:rPr>
        <w:t xml:space="preserve">е страхования, превышает страховую стоимость на дату наступления страхового случая, договор является ничтожным в той части страховой суммы, которая превышает страховую стоимость. Уплаченная излишне часть страховой премии возврату в этом случае не подлежит.</w:t>
      </w:r>
      <w:r/>
    </w:p>
    <w:p>
      <w:pPr>
        <w:pStyle w:val="690"/>
        <w:ind w:firstLine="720"/>
        <w:jc w:val="both"/>
      </w:pPr>
      <w:r>
        <w:t xml:space="preserve">2.2.3.</w:t>
      </w:r>
      <w:r>
        <w:t xml:space="preserve"> Ф</w:t>
      </w:r>
      <w:r>
        <w:t xml:space="preserve">раншиза</w:t>
      </w:r>
      <w:r>
        <w:t xml:space="preserve"> —</w:t>
      </w:r>
      <w:r>
        <w:t xml:space="preserve"> </w:t>
      </w:r>
      <w:r>
        <w:t xml:space="preserve"> </w:t>
      </w:r>
      <w:r>
        <w:rPr>
          <w:rFonts w:ascii="Wingdings" w:hAnsi="Wingdings" w:eastAsia="Wingdings" w:cs="Wingdings"/>
        </w:rPr>
        <w:t xml:space="preserve">þ</w:t>
      </w:r>
      <w:r>
        <w:t xml:space="preserve"> установлена </w:t>
      </w:r>
      <w:r>
        <w:rPr>
          <w:rFonts w:ascii="Wingdings" w:hAnsi="Wingdings" w:eastAsia="Wingdings" w:cs="Wingdings"/>
        </w:rPr>
        <w:t xml:space="preserve">þ</w:t>
      </w:r>
      <w:r>
        <w:t xml:space="preserve"> </w:t>
      </w:r>
      <w:r>
        <w:t xml:space="preserve">безусловная, по каждому страховому случаю</w:t>
      </w:r>
      <w:r>
        <w:t xml:space="preserve"> по каждому объекту страхования</w:t>
      </w:r>
      <w:r>
        <w:t xml:space="preserve">, в размере </w:t>
      </w:r>
      <w:r>
        <w:t xml:space="preserve">от о</w:t>
      </w:r>
      <w:r>
        <w:t xml:space="preserve">бщей страховой суммы 30 000</w:t>
      </w:r>
      <w:r>
        <w:t xml:space="preserve"> (</w:t>
      </w:r>
      <w:r>
        <w:t xml:space="preserve">тридцать тысяч</w:t>
      </w:r>
      <w:r>
        <w:t xml:space="preserve">) рублей</w:t>
      </w:r>
      <w:r>
        <w:t xml:space="preserve"> 00 копеек</w:t>
      </w:r>
      <w:r>
        <w:t xml:space="preserve">.</w:t>
      </w:r>
      <w:r/>
    </w:p>
    <w:p>
      <w:pPr>
        <w:pStyle w:val="690"/>
        <w:ind w:firstLine="720"/>
        <w:jc w:val="both"/>
      </w:pPr>
      <w:r/>
      <w:commentRangeStart w:id="3"/>
      <w:r>
        <w:t xml:space="preserve">2.2.4.</w:t>
      </w:r>
      <w:r>
        <w:t xml:space="preserve"> </w:t>
      </w:r>
      <w:r>
        <w:t xml:space="preserve">Территория страхования </w:t>
      </w:r>
      <w:r>
        <w:t xml:space="preserve">–</w:t>
      </w:r>
      <w:r>
        <w:t xml:space="preserve"> </w:t>
      </w:r>
      <w:r>
        <w:t xml:space="preserve">в соответствии с Таблицей п. 2.2.</w:t>
      </w:r>
      <w:r>
        <w:t xml:space="preserve"> </w:t>
      </w:r>
      <w:r>
        <w:t xml:space="preserve">Гибель (уничтожение), повреждение или утрата застрахованного имущества за пределами Территории страхования не является страховым случаем.</w:t>
      </w:r>
      <w:r/>
    </w:p>
    <w:p>
      <w:pPr>
        <w:pStyle w:val="690"/>
        <w:ind w:firstLine="720"/>
        <w:jc w:val="both"/>
      </w:pPr>
      <w:r>
        <w:t xml:space="preserve">2.</w:t>
      </w:r>
      <w:r>
        <w:t xml:space="preserve">3</w:t>
      </w:r>
      <w:r>
        <w:t xml:space="preserve">. Страхование имущества осуществляется по следующим рискам:</w:t>
      </w:r>
      <w:r/>
    </w:p>
    <w:p>
      <w:pPr>
        <w:pStyle w:val="690"/>
        <w:ind w:firstLine="720"/>
        <w:jc w:val="both"/>
      </w:pPr>
      <w:r>
        <w:t xml:space="preserve">2.3.1. «Пожар, удар молнии, взрыв», </w:t>
      </w:r>
      <w:r/>
    </w:p>
    <w:p>
      <w:pPr>
        <w:pStyle w:val="690"/>
        <w:ind w:firstLine="720"/>
        <w:jc w:val="both"/>
      </w:pPr>
      <w:r>
        <w:t xml:space="preserve">2.3.2. «Залив», </w:t>
      </w:r>
      <w:r/>
    </w:p>
    <w:p>
      <w:pPr>
        <w:pStyle w:val="690"/>
        <w:ind w:firstLine="720"/>
        <w:jc w:val="both"/>
      </w:pPr>
      <w:r>
        <w:t xml:space="preserve">2.3.3. «Повреждение»,</w:t>
      </w:r>
      <w:r/>
    </w:p>
    <w:p>
      <w:pPr>
        <w:pStyle w:val="690"/>
        <w:ind w:firstLine="720"/>
        <w:jc w:val="both"/>
      </w:pPr>
      <w:r>
        <w:t xml:space="preserve">2.3.4. «Противоправные действия третьих </w:t>
      </w:r>
      <w:r>
        <w:t xml:space="preserve">лиц»</w:t>
      </w:r>
      <w:r/>
    </w:p>
    <w:p>
      <w:pPr>
        <w:pStyle w:val="701"/>
        <w:ind w:firstLine="720"/>
        <w:rPr>
          <w:b/>
        </w:rPr>
      </w:pPr>
      <w:r>
        <w:t xml:space="preserve">Страховыми случаями признаются</w:t>
      </w:r>
      <w:r>
        <w:rPr>
          <w:b/>
        </w:rPr>
        <w:t xml:space="preserve"> </w:t>
      </w:r>
      <w:r>
        <w:t xml:space="preserve">гибель (уничтожение), повреждение или утрата застрахованного имущества вследствие наступления страховых рисков из числа указанных выше.</w:t>
      </w:r>
      <w:r>
        <w:rPr>
          <w:b/>
        </w:rPr>
      </w:r>
      <w:r>
        <w:rPr>
          <w:b/>
        </w:rPr>
      </w:r>
      <w:commentRangeEnd w:id="3"/>
      <w:r>
        <w:commentReference w:id="3"/>
      </w:r>
      <w:r/>
      <w:r>
        <w:rPr>
          <w:b/>
        </w:rPr>
      </w:r>
    </w:p>
    <w:p>
      <w:pPr>
        <w:pStyle w:val="690"/>
        <w:jc w:val="both"/>
      </w:pPr>
      <w:r>
        <w:tab/>
      </w:r>
      <w:r>
        <w:t xml:space="preserve">2.</w:t>
      </w:r>
      <w:r>
        <w:t xml:space="preserve">4</w:t>
      </w:r>
      <w:r>
        <w:t xml:space="preserve">. Страховая премия исчислена в разм</w:t>
      </w:r>
      <w:r>
        <w:t xml:space="preserve">е</w:t>
      </w:r>
      <w:r>
        <w:t xml:space="preserve">ре:</w:t>
      </w:r>
      <w:r>
        <w:t xml:space="preserve"> </w:t>
      </w:r>
      <w:r>
        <w:t xml:space="preserve">____________</w:t>
      </w:r>
      <w:r>
        <w:t xml:space="preserve"> </w:t>
      </w:r>
      <w:r>
        <w:t xml:space="preserve">(</w:t>
      </w:r>
      <w:r>
        <w:t xml:space="preserve">_______________________</w:t>
      </w:r>
      <w:r>
        <w:t xml:space="preserve">)</w:t>
      </w:r>
      <w:r>
        <w:t xml:space="preserve"> </w:t>
      </w:r>
      <w:r>
        <w:t xml:space="preserve">руб.</w:t>
      </w:r>
      <w:r>
        <w:t xml:space="preserve"> </w:t>
      </w:r>
      <w:r>
        <w:t xml:space="preserve">00</w:t>
      </w:r>
      <w:r>
        <w:t xml:space="preserve"> коп. и уплачивается на расчетный счет Страховщика</w:t>
      </w:r>
      <w:r>
        <w:t xml:space="preserve">:</w:t>
      </w:r>
      <w:r/>
    </w:p>
    <w:p>
      <w:pPr>
        <w:pStyle w:val="690"/>
        <w:jc w:val="both"/>
      </w:pPr>
      <w:r>
        <w:rPr>
          <w:rFonts w:ascii="Wingdings" w:hAnsi="Wingdings" w:eastAsia="Wingdings" w:cs="Wingdings"/>
        </w:rPr>
        <w:t xml:space="preserve">þ</w:t>
      </w:r>
      <w:r>
        <w:t xml:space="preserve"> </w:t>
      </w:r>
      <w:r>
        <w:t xml:space="preserve"> </w:t>
      </w:r>
      <w:r>
        <w:t xml:space="preserve"> </w:t>
      </w:r>
      <w:r>
        <w:t xml:space="preserve">единовременно</w:t>
      </w:r>
      <w:r>
        <w:t xml:space="preserve"> в течении 7 (семи) рабочих дней с момента подписания договора</w:t>
      </w:r>
      <w:r>
        <w:t xml:space="preserve"> страхования </w:t>
      </w:r>
      <w:r>
        <w:t xml:space="preserve">имущества,</w:t>
      </w:r>
      <w:r>
        <w:t xml:space="preserve"> расположенного по адресу: Амурская область, 10 км. Новотроицкого шоссе г. Благовещенска мусороперерабатывающий комплекс «БлагЭко»</w:t>
      </w:r>
      <w:r>
        <w:t xml:space="preserve">.</w:t>
      </w:r>
      <w:r/>
    </w:p>
    <w:p>
      <w:pPr>
        <w:pStyle w:val="743"/>
        <w:ind w:left="0"/>
        <w:jc w:val="both"/>
        <w:tabs>
          <w:tab w:val="left" w:pos="1134" w:leader="none"/>
        </w:tabs>
      </w:pPr>
      <w:r/>
      <w:r/>
    </w:p>
    <w:p>
      <w:pPr>
        <w:pStyle w:val="743"/>
        <w:ind w:left="0"/>
        <w:jc w:val="both"/>
        <w:tabs>
          <w:tab w:val="left" w:pos="1134" w:leader="none"/>
        </w:tabs>
      </w:pPr>
      <w:r>
        <w:t xml:space="preserve">              </w:t>
      </w:r>
      <w:r>
        <w:t xml:space="preserve"> При уплате страховой премии в рассрочку в случае просрочки уплаты очередного страхового взноса, срок действия </w:t>
      </w:r>
      <w:r>
        <w:t xml:space="preserve">д</w:t>
      </w:r>
      <w:r>
        <w:t xml:space="preserve">оговора </w:t>
      </w:r>
      <w:r>
        <w:t xml:space="preserve">страхования </w:t>
      </w:r>
      <w:r>
        <w:t xml:space="preserve">сокращается пропорционально сумме уплаченных страховых взносов:</w:t>
      </w:r>
      <w:r/>
    </w:p>
    <w:p>
      <w:pPr>
        <w:pStyle w:val="743"/>
        <w:ind w:left="0" w:firstLine="709"/>
        <w:jc w:val="both"/>
        <w:tabs>
          <w:tab w:val="left" w:pos="1134" w:leader="none"/>
        </w:tabs>
      </w:pPr>
      <w:r>
        <w:t xml:space="preserve">-</w:t>
      </w:r>
      <w:r>
        <w:t xml:space="preserve">если оплаченный период действия договора страхования превышает срок, прошедший с даты вступления договора в силу до даты, до которой должен был быть уплачен очередной страховой взнос, то при просрочке его уплаты договор страхования прекращается с 00 часов </w:t>
      </w:r>
      <w:r>
        <w:t xml:space="preserve">дня,</w:t>
      </w:r>
      <w:r>
        <w:t xml:space="preserve"> следующего за последним днем оплаченного периода;</w:t>
      </w:r>
      <w:r/>
    </w:p>
    <w:p>
      <w:pPr>
        <w:pStyle w:val="743"/>
        <w:ind w:left="0" w:firstLine="709"/>
        <w:jc w:val="both"/>
      </w:pPr>
      <w:r>
        <w:t xml:space="preserve">-если оплаченный период действия договора страхования не превышает срок, прошедший с даты вступления договора в силу до</w:t>
      </w:r>
      <w:r>
        <w:t xml:space="preserve"> даты, до которой должен был быть уплачен очередной страховой взнос, то при просрочке его уплаты датой досрочного прекращения договора страхования будет являться дата отправления уведомления или дата вручения уведомления Страхователю при доставке нарочным.</w:t>
      </w:r>
      <w:r/>
    </w:p>
    <w:p>
      <w:pPr>
        <w:pStyle w:val="690"/>
        <w:ind w:firstLine="708"/>
        <w:jc w:val="both"/>
      </w:pPr>
      <w:r>
        <w:t xml:space="preserve">2.5.  Настоящий договор заключается на срок страхования один год. </w:t>
      </w:r>
      <w:r/>
    </w:p>
    <w:p>
      <w:pPr>
        <w:pStyle w:val="690"/>
        <w:ind w:firstLine="708"/>
        <w:jc w:val="both"/>
      </w:pPr>
      <w:r>
        <w:t xml:space="preserve">2.6. Договор считается заключенным с момента его подписания Сторонами, при этом в отношении ответственности Страховщика (страховой защиты, обязательств по выплате страхового возмещения) </w:t>
      </w:r>
      <w:r>
        <w:t xml:space="preserve">д</w:t>
      </w:r>
      <w:r>
        <w:t xml:space="preserve">оговор действует с 00.00 час.</w:t>
      </w:r>
      <w:r>
        <w:rPr>
          <w:bCs/>
        </w:rPr>
        <w:t xml:space="preserve"> __</w:t>
      </w:r>
      <w:r>
        <w:rPr>
          <w:bCs/>
        </w:rPr>
        <w:t xml:space="preserve">_. _</w:t>
      </w:r>
      <w:r>
        <w:rPr>
          <w:bCs/>
        </w:rPr>
        <w:t xml:space="preserve">__.20__ г. по 24.00 час. _</w:t>
      </w:r>
      <w:r>
        <w:rPr>
          <w:bCs/>
        </w:rPr>
        <w:t xml:space="preserve">_. _</w:t>
      </w:r>
      <w:r>
        <w:rPr>
          <w:bCs/>
        </w:rPr>
        <w:t xml:space="preserve">_.20___</w:t>
      </w:r>
      <w:r>
        <w:t xml:space="preserve"> г. при условии оплаты страховой премии в размере и в срок, предусмотренный настоящим договором. В случ</w:t>
      </w:r>
      <w:r>
        <w:t xml:space="preserve">ае неуплаты Страхователем страховой премии в указанный настоящим договором срок, действие страхования начинается со дня, следующего за днем уплаты страховой премии и действует в течение одного года. При этом, точные даты начала и окончания срока (периода) </w:t>
      </w:r>
      <w:r>
        <w:t xml:space="preserve">страхования указываются</w:t>
      </w:r>
      <w:r>
        <w:t xml:space="preserve"> в Полисе (Приложение № ___ к договору).</w:t>
      </w:r>
      <w:r/>
    </w:p>
    <w:p>
      <w:pPr>
        <w:pStyle w:val="690"/>
        <w:ind w:firstLine="720"/>
        <w:jc w:val="both"/>
      </w:pPr>
      <w:r>
        <w:t xml:space="preserve">2.</w:t>
      </w:r>
      <w:r>
        <w:t xml:space="preserve">7</w:t>
      </w:r>
      <w:r>
        <w:t xml:space="preserve">. </w:t>
      </w:r>
      <w:r>
        <w:t xml:space="preserve">При наступлении страхового случая, страховое возмещение рассчитывается в соответствии с условиями Правил и </w:t>
      </w:r>
      <w:r>
        <w:t xml:space="preserve">Д</w:t>
      </w:r>
      <w:r>
        <w:t xml:space="preserve">оговора страхования</w:t>
      </w:r>
      <w:r>
        <w:t xml:space="preserve">,</w:t>
      </w:r>
      <w:r>
        <w:t xml:space="preserve"> исходя из</w:t>
      </w:r>
      <w:r>
        <w:t xml:space="preserve"> причиненного ущерба застрахованному имуществу Страхователя, но не выше страховой суммы, установленной по </w:t>
      </w:r>
      <w:r>
        <w:t xml:space="preserve">каждому</w:t>
      </w:r>
      <w:r>
        <w:t xml:space="preserve"> объекту страхования с учетом условий, указанных в п. 2.2.2, за вычетом безусловной франшизы в соответствии с п. 2.2.3</w:t>
      </w:r>
      <w:r>
        <w:t xml:space="preserve">. д</w:t>
      </w:r>
      <w:r>
        <w:t xml:space="preserve">оговора.</w:t>
      </w:r>
      <w:r/>
    </w:p>
    <w:p>
      <w:pPr>
        <w:pStyle w:val="690"/>
        <w:ind w:firstLine="720"/>
        <w:jc w:val="both"/>
      </w:pPr>
      <w:r>
        <w:t xml:space="preserve">2.8. К Страховщику, выплатившему страховое возмещение, переходит в пределах выплаченной суммы право требования, которое Страхователь (Выгодоприобретатель) имеет к лицу, ответственному за убытки, возмещенные в результате страхования (суброгация</w:t>
      </w:r>
      <w:r>
        <w:t xml:space="preserve">, ст.965 ГК РФ</w:t>
      </w:r>
      <w:r>
        <w:t xml:space="preserve">).</w:t>
      </w:r>
      <w:r/>
    </w:p>
    <w:p>
      <w:pPr>
        <w:pStyle w:val="700"/>
        <w:ind w:firstLine="708"/>
        <w:jc w:val="both"/>
      </w:pPr>
      <w:r>
        <w:t xml:space="preserve">2.9.</w:t>
      </w:r>
      <w:r>
        <w:t xml:space="preserve"> Исключения </w:t>
      </w:r>
      <w:r>
        <w:t xml:space="preserve">из страховых случаев </w:t>
      </w:r>
      <w:r>
        <w:t xml:space="preserve">и иные изъятия из объема страхового покрытия установлены Правилами.</w:t>
      </w:r>
      <w:r>
        <w:t xml:space="preserve"> Отличия установлены в разделе 5 настоящего договора.</w:t>
      </w:r>
      <w:r/>
    </w:p>
    <w:p>
      <w:pPr>
        <w:pStyle w:val="690"/>
        <w:ind w:firstLine="720"/>
        <w:jc w:val="both"/>
      </w:pPr>
      <w:r>
        <w:t xml:space="preserve">2.1</w:t>
      </w:r>
      <w:r>
        <w:t xml:space="preserve">0</w:t>
      </w:r>
      <w:r>
        <w:t xml:space="preserve">. Выгодоприобретатель по </w:t>
      </w:r>
      <w:r>
        <w:t xml:space="preserve">д</w:t>
      </w:r>
      <w:r>
        <w:t xml:space="preserve">оговору:</w:t>
      </w:r>
      <w:r/>
    </w:p>
    <w:p>
      <w:pPr>
        <w:pStyle w:val="690"/>
      </w:pPr>
      <w:r>
        <w:rPr>
          <w:rFonts w:ascii="Wingdings" w:hAnsi="Wingdings" w:eastAsia="Wingdings" w:cs="Wingdings"/>
        </w:rPr>
        <w:t xml:space="preserve">þ</w:t>
      </w:r>
      <w:r>
        <w:t xml:space="preserve"> арендодатель</w:t>
      </w:r>
      <w:r>
        <w:t xml:space="preserve"> по Договору аренды №57 от 15.03.2024г. </w:t>
      </w:r>
      <w:r/>
    </w:p>
    <w:p>
      <w:pPr>
        <w:pStyle w:val="690"/>
        <w:rPr>
          <w:color w:val="000000"/>
        </w:rPr>
      </w:pPr>
      <w:r>
        <w:rPr>
          <w:color w:val="000000"/>
        </w:rPr>
        <w:t xml:space="preserve">Государственное бюджетное учреждение Амурской области «Экология»</w:t>
      </w:r>
      <w:r>
        <w:rPr>
          <w:color w:val="000000"/>
        </w:rPr>
      </w:r>
    </w:p>
    <w:p>
      <w:pPr>
        <w:pStyle w:val="690"/>
        <w:rPr>
          <w:color w:val="000000"/>
        </w:rPr>
      </w:pPr>
      <w:r>
        <w:rPr>
          <w:color w:val="000000"/>
        </w:rPr>
        <w:t xml:space="preserve">Почтовый адрес и индекс: 675002, Амурская область, г. Благовещенск, ул. Первомайская, 25/1</w:t>
      </w:r>
      <w:r>
        <w:rPr>
          <w:color w:val="000000"/>
        </w:rPr>
      </w:r>
    </w:p>
    <w:p>
      <w:pPr>
        <w:pStyle w:val="690"/>
        <w:rPr>
          <w:color w:val="000000"/>
        </w:rPr>
      </w:pPr>
      <w:r>
        <w:rPr>
          <w:color w:val="000000"/>
        </w:rPr>
        <w:t xml:space="preserve">ИНН 2801254988, КПП 280101001, минфин АО (ГБУ «Экология»), казначейский счет:</w:t>
      </w:r>
      <w:r>
        <w:rPr>
          <w:color w:val="000000"/>
        </w:rPr>
      </w:r>
    </w:p>
    <w:p>
      <w:pPr>
        <w:pStyle w:val="690"/>
        <w:rPr>
          <w:color w:val="000000"/>
        </w:rPr>
      </w:pPr>
      <w:r>
        <w:rPr>
          <w:color w:val="000000"/>
        </w:rPr>
        <w:t xml:space="preserve">03224643100000002300, БИК 011012100, Отделение Благовещенск Банка России//УФК по Амурской области, г.</w:t>
      </w:r>
      <w:r>
        <w:rPr>
          <w:color w:val="000000"/>
        </w:rPr>
      </w:r>
    </w:p>
    <w:p>
      <w:pPr>
        <w:pStyle w:val="690"/>
        <w:rPr>
          <w:color w:val="000000"/>
        </w:rPr>
      </w:pPr>
      <w:r>
        <w:rPr>
          <w:color w:val="000000"/>
        </w:rPr>
        <w:t xml:space="preserve">Благовещенск, банковский счет: 40102810245370000015, л/с: 20924002861, ОГРН 1202800000391, </w:t>
      </w:r>
      <w:r>
        <w:rPr>
          <w:color w:val="000000"/>
        </w:rPr>
      </w:r>
      <w:r>
        <w:rPr>
          <w:color w:val="000000"/>
        </w:rPr>
      </w:r>
    </w:p>
    <w:p>
      <w:pPr>
        <w:pStyle w:val="690"/>
      </w:pPr>
      <w:r>
        <w:rPr>
          <w:color w:val="000000"/>
        </w:rPr>
        <w:t xml:space="preserve">ОКОГУ</w:t>
      </w:r>
      <w:r>
        <w:rPr>
          <w:color w:val="000000"/>
        </w:rPr>
        <w:t xml:space="preserve"> </w:t>
      </w:r>
      <w:r>
        <w:rPr>
          <w:color w:val="000000"/>
        </w:rPr>
        <w:t xml:space="preserve">4210014, ОКПО 43140817, ОКФС 13, ОКТМО 10701000001, ОКОПФ 75203</w:t>
      </w:r>
      <w:r>
        <w:rPr>
          <w:color w:val="000000"/>
        </w:rPr>
        <w:t xml:space="preserve">.</w:t>
      </w:r>
      <w:r/>
    </w:p>
    <w:p>
      <w:pPr>
        <w:pStyle w:val="690"/>
        <w:ind w:firstLine="720"/>
        <w:jc w:val="both"/>
      </w:pPr>
      <w:r/>
      <w:r/>
    </w:p>
    <w:p>
      <w:pPr>
        <w:pStyle w:val="700"/>
        <w:jc w:val="center"/>
        <w:rPr>
          <w:b/>
        </w:rPr>
      </w:pPr>
      <w:r>
        <w:rPr>
          <w:b/>
        </w:rPr>
        <w:t xml:space="preserve">3. ПРАВА И ОБЯЗАННОСТИ СТОРОН</w:t>
      </w:r>
      <w:r>
        <w:rPr>
          <w:b/>
        </w:rPr>
      </w:r>
    </w:p>
    <w:p>
      <w:pPr>
        <w:pStyle w:val="690"/>
        <w:ind w:firstLine="720"/>
        <w:jc w:val="both"/>
        <w:widowControl w:val="off"/>
      </w:pPr>
      <w:r>
        <w:t xml:space="preserve">3.1. Страхователь имеет право:</w:t>
      </w:r>
      <w:r/>
    </w:p>
    <w:p>
      <w:pPr>
        <w:pStyle w:val="690"/>
        <w:ind w:left="720"/>
        <w:jc w:val="both"/>
        <w:widowControl w:val="off"/>
      </w:pPr>
      <w:r>
        <w:t xml:space="preserve">а) на изменение </w:t>
      </w:r>
      <w:r>
        <w:t xml:space="preserve">по согласованию со Страховщиком </w:t>
      </w:r>
      <w:r>
        <w:t xml:space="preserve">условий договора страхования;</w:t>
      </w:r>
      <w:r/>
    </w:p>
    <w:p>
      <w:pPr>
        <w:pStyle w:val="700"/>
        <w:ind w:right="-1" w:firstLine="709"/>
        <w:jc w:val="both"/>
      </w:pPr>
      <w:r>
        <w:t xml:space="preserve">б) увеличить в период действия договора страхования размер страховой суммы по согласованию со Страховщиком, уплатив дополнительную страховую премию</w:t>
      </w:r>
      <w:r>
        <w:t xml:space="preserve"> (п.</w:t>
      </w:r>
      <w:r>
        <w:t xml:space="preserve"> </w:t>
      </w:r>
      <w:r>
        <w:t xml:space="preserve">5.</w:t>
      </w:r>
      <w:r>
        <w:t xml:space="preserve">7.</w:t>
      </w:r>
      <w:r>
        <w:t xml:space="preserve"> Правил)</w:t>
      </w:r>
      <w:r>
        <w:t xml:space="preserve">;</w:t>
      </w:r>
      <w:r/>
    </w:p>
    <w:p>
      <w:pPr>
        <w:pStyle w:val="690"/>
        <w:ind w:left="720"/>
        <w:jc w:val="both"/>
        <w:widowControl w:val="off"/>
      </w:pPr>
      <w:r>
        <w:t xml:space="preserve">в) на досрочное прекращение договора страхования;</w:t>
      </w:r>
      <w:r/>
    </w:p>
    <w:p>
      <w:pPr>
        <w:pStyle w:val="690"/>
        <w:ind w:left="720"/>
        <w:jc w:val="both"/>
        <w:widowControl w:val="off"/>
      </w:pPr>
      <w:r>
        <w:t xml:space="preserve">г) на заключение договора страхования в пользу третьего лица (Выгодоприобретателя);</w:t>
      </w:r>
      <w:r/>
    </w:p>
    <w:p>
      <w:pPr>
        <w:pStyle w:val="690"/>
        <w:ind w:firstLine="720"/>
        <w:jc w:val="both"/>
      </w:pPr>
      <w:r>
        <w:t xml:space="preserve">д) в течение срока действия договора </w:t>
      </w:r>
      <w:r>
        <w:t xml:space="preserve">назначить или </w:t>
      </w:r>
      <w:r>
        <w:t xml:space="preserve">заменить Выгодоприобретателя, названного в договоре страхования, другим лицом. О замене Выгодоприобретателя Страхователь должен письменно уведомить Страховщика.</w:t>
      </w:r>
      <w:r/>
    </w:p>
    <w:p>
      <w:pPr>
        <w:pStyle w:val="690"/>
        <w:ind w:firstLine="720"/>
        <w:jc w:val="both"/>
      </w:pPr>
      <w:r>
        <w:t xml:space="preserve">Выгодоприобретатель не может быть заменен другим лицом после наступления страхового случая </w:t>
      </w:r>
      <w:r>
        <w:t xml:space="preserve">или </w:t>
      </w:r>
      <w:r>
        <w:t xml:space="preserve">после того, как Выгодоприобретатель выполнил какую-либо из обязанностей по договору страхования либо предъявил Страховщику требование о выплате страхового возмещения</w:t>
      </w:r>
      <w:r>
        <w:t xml:space="preserve">;</w:t>
      </w:r>
      <w:r/>
    </w:p>
    <w:p>
      <w:pPr>
        <w:pStyle w:val="690"/>
        <w:ind w:firstLine="720"/>
        <w:jc w:val="both"/>
        <w:widowControl w:val="off"/>
        <w:rPr>
          <w:strike/>
        </w:rPr>
      </w:pPr>
      <w:r>
        <w:t xml:space="preserve">е) при наступлении страхового случая - получить страховую выплату в соответствии с условиями Правил и договора страхования. </w:t>
      </w:r>
      <w:r>
        <w:rPr>
          <w:strike/>
        </w:rPr>
      </w:r>
      <w:r>
        <w:rPr>
          <w:strike/>
        </w:rPr>
      </w:r>
    </w:p>
    <w:p>
      <w:pPr>
        <w:pStyle w:val="690"/>
        <w:ind w:firstLine="720"/>
        <w:jc w:val="both"/>
        <w:widowControl w:val="off"/>
      </w:pPr>
      <w:r>
        <w:t xml:space="preserve">3.2. Страхователь обязан:</w:t>
      </w:r>
      <w:r/>
    </w:p>
    <w:p>
      <w:pPr>
        <w:pStyle w:val="690"/>
        <w:ind w:firstLine="720"/>
        <w:jc w:val="both"/>
        <w:widowControl w:val="off"/>
      </w:pPr>
      <w:r>
        <w:t xml:space="preserve">а) соблюдать условия договора страхования;</w:t>
      </w:r>
      <w:r>
        <w:t xml:space="preserve"> довести до сведения лиц, допущенных к эксплуатации застрахованного имущества, требования настоящих Правил и условия договора страхования; </w:t>
      </w:r>
      <w:r/>
    </w:p>
    <w:p>
      <w:pPr>
        <w:pStyle w:val="690"/>
        <w:ind w:firstLine="720"/>
        <w:jc w:val="both"/>
        <w:widowControl w:val="off"/>
      </w:pPr>
      <w:r>
        <w:t xml:space="preserve">б) своевременно </w:t>
      </w:r>
      <w:r>
        <w:t xml:space="preserve">и в надлежащем размере </w:t>
      </w:r>
      <w:r>
        <w:t xml:space="preserve">вносить страховую премию;</w:t>
      </w:r>
      <w:r/>
    </w:p>
    <w:p>
      <w:pPr>
        <w:pStyle w:val="690"/>
        <w:ind w:firstLine="720"/>
        <w:jc w:val="both"/>
        <w:widowControl w:val="off"/>
      </w:pPr>
      <w:r>
        <w:t xml:space="preserve">в) при заключении договора страхования сообщать Страховщику обо всех известных ему обстоятельствах, имеющих существенное значение для оценки страхового риска, в соответствии с п.</w:t>
      </w:r>
      <w:r>
        <w:t xml:space="preserve"> </w:t>
      </w:r>
      <w:r>
        <w:t xml:space="preserve">8.3. Правил, а также обо всех заключенных или заключаемых договорах страхования в отношении имущества, принятого на страхование</w:t>
      </w:r>
      <w:r>
        <w:t xml:space="preserve"> (двойное страхование - п.</w:t>
      </w:r>
      <w:r>
        <w:t xml:space="preserve"> </w:t>
      </w:r>
      <w:r>
        <w:t xml:space="preserve">11.9</w:t>
      </w:r>
      <w:r>
        <w:t xml:space="preserve">.</w:t>
      </w:r>
      <w:r>
        <w:t xml:space="preserve"> Правил)</w:t>
      </w:r>
      <w:r>
        <w:t xml:space="preserve">;</w:t>
      </w:r>
      <w:r/>
    </w:p>
    <w:p>
      <w:pPr>
        <w:pStyle w:val="690"/>
        <w:ind w:firstLine="720"/>
        <w:jc w:val="both"/>
        <w:widowControl w:val="off"/>
      </w:pPr>
      <w:r>
        <w:t xml:space="preserve">г) незамедлительно сообщать Страховщику, как только это станет известно Страхователю, обо всех существенных</w:t>
      </w:r>
      <w:r>
        <w:t xml:space="preserve"> изменениях в отношении имущества и повышении степени риска его страхования (переход имущества в собственность другого лица, сдача в аренду или залог, переоборудование, прекращение эксплуатации, повышение вероятности наступления страхового события и т.п.);</w:t>
      </w:r>
      <w:r/>
    </w:p>
    <w:p>
      <w:pPr>
        <w:pStyle w:val="690"/>
        <w:ind w:firstLine="720"/>
        <w:jc w:val="both"/>
        <w:rPr>
          <w:shd w:val="clear" w:color="auto" w:fill="ffffff"/>
        </w:rPr>
      </w:pPr>
      <w:r>
        <w:t xml:space="preserve">д) </w:t>
      </w:r>
      <w:r>
        <w:rPr>
          <w:shd w:val="clear" w:color="auto" w:fill="ffffff"/>
        </w:rPr>
        <w:t xml:space="preserve">соблюдать правила пожарной безопасности и установленные</w:t>
      </w:r>
      <w:r>
        <w:rPr>
          <w:shd w:val="clear" w:color="auto" w:fill="ffffff"/>
        </w:rPr>
        <w:t xml:space="preserve"> правила и нормы безопасности содержания и эксплуатации объектов страхования, охраны помещений и имущества, обеспечивать его сохранность, безопасность проведения работ и т.п. В том числе,  проводить инструктаж по правилам пожарной безопасности, правилам пр</w:t>
      </w:r>
      <w:r>
        <w:rPr>
          <w:shd w:val="clear" w:color="auto" w:fill="ffffff"/>
        </w:rPr>
        <w:t xml:space="preserve">оизводства работ и технике безопасности, предпринимать все меры для обеспечения исправной и непрерывной работы пожарной, охранной сигнализации, систем пожаротушения, первичных средств пожаротушения, предпринимать все необходимые меры по обеспечению нормаль</w:t>
      </w:r>
      <w:r>
        <w:rPr>
          <w:shd w:val="clear" w:color="auto" w:fill="ffffff"/>
        </w:rPr>
        <w:t xml:space="preserve">ной работы оборудования (инженерного, производственного, технологического, холодильного) в соответствии с рекомендациями его изготовителя, общепринятыми правилами его эксплуатации и указаниями органов государственной инспекции или иных аналогичных органов.</w:t>
      </w:r>
      <w:r>
        <w:rPr>
          <w:shd w:val="clear" w:color="auto" w:fill="ffffff"/>
        </w:rPr>
      </w:r>
    </w:p>
    <w:p>
      <w:pPr>
        <w:pStyle w:val="700"/>
        <w:ind w:right="-1" w:firstLine="720"/>
        <w:jc w:val="both"/>
      </w:pPr>
      <w:r>
        <w:rPr>
          <w:shd w:val="clear" w:color="auto" w:fill="ffffff"/>
        </w:rPr>
        <w:t xml:space="preserve"> Обязательства, перечисленные в </w:t>
      </w:r>
      <w:r>
        <w:rPr>
          <w:shd w:val="clear" w:color="auto" w:fill="ffffff"/>
        </w:rPr>
        <w:t xml:space="preserve">настоящем пункте,</w:t>
      </w:r>
      <w:r>
        <w:rPr>
          <w:shd w:val="clear" w:color="auto" w:fill="ffffff"/>
        </w:rPr>
        <w:t xml:space="preserve"> возлагаются также на работников Страхователя (Выгодоприобретателя)</w:t>
      </w:r>
      <w:r>
        <w:t xml:space="preserve">.</w:t>
      </w:r>
      <w:r/>
    </w:p>
    <w:p>
      <w:pPr>
        <w:pStyle w:val="690"/>
        <w:jc w:val="both"/>
        <w:widowControl w:val="off"/>
      </w:pPr>
      <w:r>
        <w:tab/>
        <w:t xml:space="preserve">3.3. Страховщик имеет право:</w:t>
      </w:r>
      <w:r/>
    </w:p>
    <w:p>
      <w:pPr>
        <w:pStyle w:val="690"/>
        <w:jc w:val="both"/>
        <w:widowControl w:val="off"/>
      </w:pPr>
      <w:r>
        <w:tab/>
        <w:t xml:space="preserve">а) при заключении договора страхования проверять полноту и достоверность сведений, сообщаемых Страхователем;</w:t>
      </w:r>
      <w:r/>
    </w:p>
    <w:p>
      <w:pPr>
        <w:pStyle w:val="690"/>
        <w:ind w:firstLine="720"/>
        <w:jc w:val="both"/>
        <w:widowControl w:val="off"/>
      </w:pPr>
      <w:r>
        <w:t xml:space="preserve">б) в течение срока действия договора страхования проверять состояние застрахованного имущества, а также правильность сведений, сообщенных Страхователем (Выгодоприобретателем) об имуществе и степени страхового риска;</w:t>
      </w:r>
      <w:r/>
    </w:p>
    <w:p>
      <w:pPr>
        <w:pStyle w:val="690"/>
        <w:ind w:firstLine="720"/>
        <w:jc w:val="both"/>
        <w:widowControl w:val="off"/>
      </w:pPr>
      <w:r>
        <w:t xml:space="preserve">в) досрочно прекратить действие договора страхования в случае досрочного отказа Страхователя от договора страхования в соответствии с Правилами;</w:t>
      </w:r>
      <w:r/>
    </w:p>
    <w:p>
      <w:pPr>
        <w:pStyle w:val="690"/>
        <w:ind w:firstLine="720"/>
        <w:jc w:val="both"/>
        <w:widowControl w:val="off"/>
      </w:pPr>
      <w:r>
        <w:t xml:space="preserve">г) при наличии обстоятельств, влекущ</w:t>
      </w:r>
      <w:r>
        <w:t xml:space="preserve">их увеличение степени риска, (</w:t>
      </w:r>
      <w:r>
        <w:t xml:space="preserve">Правил) – потр</w:t>
      </w:r>
      <w:r>
        <w:t xml:space="preserve">е</w:t>
      </w:r>
      <w:r>
        <w:t xml:space="preserve">бовать изменения условий договора страхования и/или упла</w:t>
      </w:r>
      <w:r>
        <w:t xml:space="preserve">ты дополнительной страховой премии соразмерно увеличению степени риска. Если Страхователь (Выгодоприобретатель) возражает против изменения условий договора страхования или доплаты страховой премии, Страховщик вправе потребовать досрочного прекращения догов</w:t>
      </w:r>
      <w:r>
        <w:t xml:space="preserve">о</w:t>
      </w:r>
      <w:r>
        <w:t xml:space="preserve">ра</w:t>
      </w:r>
      <w:r>
        <w:t xml:space="preserve"> страхования в соответствии с </w:t>
      </w:r>
      <w:r>
        <w:t xml:space="preserve">Правил</w:t>
      </w:r>
      <w:r>
        <w:t xml:space="preserve">ами</w:t>
      </w:r>
      <w:r>
        <w:t xml:space="preserve">; </w:t>
      </w:r>
      <w:r/>
    </w:p>
    <w:p>
      <w:pPr>
        <w:pStyle w:val="690"/>
        <w:ind w:firstLine="720"/>
        <w:jc w:val="both"/>
        <w:widowControl w:val="off"/>
      </w:pPr>
      <w:r>
        <w:t xml:space="preserve">д) при необхо</w:t>
      </w:r>
      <w:r>
        <w:t xml:space="preserve">димости направлять запросы в компетентные органы и другие организации (органы внутренних дел, банки, медицинские учреждения и т.д.), самостоятельно выяснять причины и обстоятельства заявленного события, имеющего признаки страхового случая; осуществлять фот</w:t>
      </w:r>
      <w:r>
        <w:t xml:space="preserve">о</w:t>
      </w:r>
      <w:r>
        <w:t xml:space="preserve">графирование (видеозапись) </w:t>
      </w:r>
      <w:r>
        <w:t xml:space="preserve">поврежденного застрахованного имущества и места происшествия, а также использовать полученные материалы в качестве доказательств при расследовании обстоятельств наступления событий, имеющих признаки страховых случаев, и определении размера причиненного уще</w:t>
      </w:r>
      <w:r>
        <w:t xml:space="preserve">р</w:t>
      </w:r>
      <w:r>
        <w:t xml:space="preserve">ба; </w:t>
      </w:r>
      <w:r/>
    </w:p>
    <w:p>
      <w:pPr>
        <w:pStyle w:val="690"/>
        <w:ind w:firstLine="720"/>
        <w:jc w:val="both"/>
        <w:widowControl w:val="off"/>
      </w:pPr>
      <w:r>
        <w:t xml:space="preserve">е) отказать в выплате с</w:t>
      </w:r>
      <w:r>
        <w:t xml:space="preserve">трахового возмещения при нарушении техники безопасности, противопожарных правил, санитарных норм и др. установленных и общепринятых правил и норм безопасности содержания и эксплуатации имущества, охраны помещений и имущества, безопасности проведения работ;</w:t>
      </w:r>
      <w:r/>
    </w:p>
    <w:p>
      <w:pPr>
        <w:pStyle w:val="690"/>
        <w:ind w:firstLine="720"/>
        <w:jc w:val="both"/>
        <w:widowControl w:val="off"/>
      </w:pPr>
      <w:r>
        <w:t xml:space="preserve">ж) в случае перехода имущества в собственность, аренду либо иное владение, пользование или распоряжение другого лица, прекра</w:t>
      </w:r>
      <w:r>
        <w:t xml:space="preserve">тить договор страхования, если Страховщик обоснованно предполагает увеличение степени страхового риска по договору страхования, а Страхователь возражает против изменения условий страхования и/или доплаты страховой премии соразмерно изменению степени риска;</w:t>
      </w:r>
      <w:r/>
    </w:p>
    <w:p>
      <w:pPr>
        <w:pStyle w:val="690"/>
        <w:ind w:firstLine="720"/>
        <w:jc w:val="both"/>
        <w:widowControl w:val="off"/>
      </w:pPr>
      <w:r>
        <w:t xml:space="preserve">з) отсрочить решение вопроса о выплате страхового возмещения (отказа в страховой выплате) по основаниям </w:t>
      </w:r>
      <w:r>
        <w:t xml:space="preserve">и на сроки, указанные </w:t>
      </w:r>
      <w:r>
        <w:t xml:space="preserve">в </w:t>
      </w:r>
      <w:r>
        <w:t xml:space="preserve">Правил</w:t>
      </w:r>
      <w:r>
        <w:t xml:space="preserve">ах</w:t>
      </w:r>
      <w:r>
        <w:t xml:space="preserve">, до момента принятия соответствующего решения комп</w:t>
      </w:r>
      <w:r>
        <w:t xml:space="preserve">е</w:t>
      </w:r>
      <w:r>
        <w:t xml:space="preserve">тентными органами;</w:t>
      </w:r>
      <w:r/>
    </w:p>
    <w:p>
      <w:pPr>
        <w:pStyle w:val="690"/>
        <w:ind w:firstLine="720"/>
        <w:jc w:val="both"/>
        <w:widowControl w:val="off"/>
        <w:rPr>
          <w:strike/>
        </w:rPr>
      </w:pPr>
      <w:r>
        <w:t xml:space="preserve">и) отказать в выплате страхового возмещения</w:t>
      </w:r>
      <w:r>
        <w:t xml:space="preserve"> </w:t>
      </w:r>
      <w:r>
        <w:t xml:space="preserve">в случаях, пре</w:t>
      </w:r>
      <w:r>
        <w:t xml:space="preserve">дусмотре</w:t>
      </w:r>
      <w:r>
        <w:t xml:space="preserve">нных </w:t>
      </w:r>
      <w:r>
        <w:t xml:space="preserve">Правил и Разделе 5 </w:t>
      </w:r>
      <w:r>
        <w:t xml:space="preserve">настоящего </w:t>
      </w:r>
      <w:r>
        <w:t xml:space="preserve">д</w:t>
      </w:r>
      <w:r>
        <w:t xml:space="preserve">оговора. </w:t>
      </w:r>
      <w:r>
        <w:rPr>
          <w:strike/>
        </w:rPr>
      </w:r>
      <w:r>
        <w:rPr>
          <w:strike/>
        </w:rPr>
      </w:r>
    </w:p>
    <w:p>
      <w:pPr>
        <w:pStyle w:val="690"/>
        <w:jc w:val="both"/>
        <w:widowControl w:val="off"/>
      </w:pPr>
      <w:r>
        <w:tab/>
        <w:t xml:space="preserve">3.4. Страховщик обязан:</w:t>
      </w:r>
      <w:r/>
    </w:p>
    <w:p>
      <w:pPr>
        <w:pStyle w:val="690"/>
        <w:jc w:val="both"/>
        <w:widowControl w:val="off"/>
      </w:pPr>
      <w:r>
        <w:tab/>
        <w:t xml:space="preserve">а) ознакомить Страхователя с содержанием Правил страхования и вручить ему один экземпляр;</w:t>
      </w:r>
      <w:r/>
    </w:p>
    <w:p>
      <w:pPr>
        <w:pStyle w:val="690"/>
        <w:jc w:val="both"/>
        <w:widowControl w:val="off"/>
      </w:pPr>
      <w:r>
        <w:tab/>
        <w:t xml:space="preserve">б) в случае проведения Страхователем мероприятий, уменьшивших риск наступления страхового случая и размер возможного ущерба объекту страхования, либо в случае увеличения его действительной стоимости</w:t>
      </w:r>
      <w:r>
        <w:t xml:space="preserve"> -</w:t>
      </w:r>
      <w:r>
        <w:t xml:space="preserve"> заключить дополнительное соглашение к договору страхования с учетом этих </w:t>
      </w:r>
      <w:r>
        <w:t xml:space="preserve">обстоятельств </w:t>
      </w:r>
      <w:r>
        <w:t xml:space="preserve">по заявлению Страхователя;</w:t>
      </w:r>
      <w:r/>
    </w:p>
    <w:p>
      <w:pPr>
        <w:pStyle w:val="690"/>
        <w:ind w:firstLine="720"/>
        <w:jc w:val="both"/>
        <w:widowControl w:val="off"/>
      </w:pPr>
      <w:r>
        <w:t xml:space="preserve">в) при страховом случае произвести страховую выплату в установленный договором страхования срок;</w:t>
      </w:r>
      <w:r/>
    </w:p>
    <w:p>
      <w:pPr>
        <w:pStyle w:val="690"/>
        <w:jc w:val="both"/>
        <w:widowControl w:val="off"/>
      </w:pPr>
      <w:r>
        <w:tab/>
        <w:t xml:space="preserve">г) не разглашать сведения о Страхователе </w:t>
      </w:r>
      <w:r>
        <w:t xml:space="preserve">(Выгодоприобретателе) </w:t>
      </w:r>
      <w:r>
        <w:t xml:space="preserve">и его имущественном положении за исключением случаев, предусмотренных законодательством РФ.</w:t>
      </w:r>
      <w:r/>
    </w:p>
    <w:p>
      <w:pPr>
        <w:pStyle w:val="690"/>
        <w:ind w:firstLine="720"/>
        <w:jc w:val="both"/>
        <w:widowControl w:val="off"/>
      </w:pPr>
      <w:r>
        <w:t xml:space="preserve">3.5. Взаимоотношения </w:t>
      </w:r>
      <w:r>
        <w:t xml:space="preserve">Сторон</w:t>
      </w:r>
      <w:r>
        <w:t xml:space="preserve"> при наступлении страхового случая:</w:t>
      </w:r>
      <w:r/>
    </w:p>
    <w:p>
      <w:pPr>
        <w:pStyle w:val="690"/>
        <w:ind w:firstLine="720"/>
        <w:jc w:val="both"/>
        <w:widowControl w:val="off"/>
      </w:pPr>
      <w:r>
        <w:t xml:space="preserve">3.5.1. При наступлении </w:t>
      </w:r>
      <w:r>
        <w:t xml:space="preserve">события, имеющего признаки </w:t>
      </w:r>
      <w:r>
        <w:t xml:space="preserve">страхового случая, в связи с которым Страхователь обращается к Страховщику с заявлением о выплате страхового возмещения, Страхователь обязан:</w:t>
      </w:r>
      <w:r/>
    </w:p>
    <w:p>
      <w:pPr>
        <w:pStyle w:val="690"/>
        <w:jc w:val="both"/>
        <w:widowControl w:val="off"/>
      </w:pPr>
      <w:r>
        <w:tab/>
        <w:t xml:space="preserve">а) незамедлительно принять все разумные и доступные в сложившихся обстоятельствах меры по уменьшению ущерба и по спасанию застрахованного имущества</w:t>
      </w:r>
      <w:r>
        <w:t xml:space="preserve"> (предотвращению его дальнейшего повреждения и устранению причин, способствующих возникновению дополнительного ущерба)</w:t>
      </w:r>
      <w:r>
        <w:t xml:space="preserve">; если это представляется возможным, Страхователь должен запросить у Страховщика инструкции, которые ему следует выполнять</w:t>
      </w:r>
      <w:r>
        <w:t xml:space="preserve">.</w:t>
      </w:r>
      <w:r/>
    </w:p>
    <w:p>
      <w:pPr>
        <w:pStyle w:val="690"/>
        <w:jc w:val="both"/>
        <w:widowControl w:val="off"/>
      </w:pPr>
      <w:r>
        <w:tab/>
        <w:t xml:space="preserve">Страховщик освобождается от возмещения убытков, возникших вследствие того, что Страхователь умышленно не принял разумных и доступных ему мер, чтобы уменьшить возможные убытки; </w:t>
      </w:r>
      <w:r/>
    </w:p>
    <w:p>
      <w:pPr>
        <w:pStyle w:val="742"/>
        <w:ind w:left="0" w:firstLine="709"/>
        <w:jc w:val="both"/>
        <w:widowControl/>
        <w:tabs>
          <w:tab w:val="left" w:pos="426" w:leader="none"/>
          <w:tab w:val="left" w:pos="1134" w:leader="none"/>
        </w:tabs>
        <w:rPr>
          <w:lang w:eastAsia="ru-RU"/>
        </w:rPr>
      </w:pPr>
      <w:r>
        <w:rPr>
          <w:lang w:eastAsia="ru-RU"/>
        </w:rPr>
        <w:t xml:space="preserve">б) незамедлительно, но в любом случае не позднее 3–х суток, считая с того дня, когда он узнал или должен был бы узнать об убытке</w:t>
      </w:r>
      <w:r>
        <w:rPr>
          <w:lang w:eastAsia="ru-RU"/>
        </w:rPr>
        <w:t xml:space="preserve">, </w:t>
      </w:r>
      <w:r>
        <w:rPr>
          <w:lang w:eastAsia="ru-RU"/>
        </w:rPr>
        <w:t xml:space="preserve">уведомить о его наступлении Страховщика, позвонив по единому номеру 8-800-600-87-67. </w:t>
      </w:r>
      <w:r>
        <w:rPr>
          <w:lang w:eastAsia="ru-RU"/>
        </w:rPr>
      </w:r>
      <w:r>
        <w:rPr>
          <w:lang w:eastAsia="ru-RU"/>
        </w:rPr>
      </w:r>
    </w:p>
    <w:p>
      <w:pPr>
        <w:pStyle w:val="742"/>
        <w:ind w:left="0" w:firstLine="709"/>
        <w:jc w:val="both"/>
        <w:widowControl/>
        <w:tabs>
          <w:tab w:val="left" w:pos="426" w:leader="none"/>
          <w:tab w:val="left" w:pos="1134" w:leader="none"/>
        </w:tabs>
        <w:rPr>
          <w:lang w:eastAsia="ru-RU"/>
        </w:rPr>
      </w:pPr>
      <w:r>
        <w:rPr>
          <w:lang w:eastAsia="ru-RU"/>
        </w:rPr>
        <w:t xml:space="preserve">Подать Страховщику заявление о страховой выплате, приложив к нему документы, </w:t>
      </w:r>
      <w:r>
        <w:rPr>
          <w:lang w:eastAsia="ru-RU"/>
        </w:rPr>
        <w:t xml:space="preserve">подтверждающие факт и обстоятельства наступления события, имеющего признаки страхового случая</w:t>
      </w:r>
      <w:r>
        <w:rPr>
          <w:lang w:eastAsia="ru-RU"/>
        </w:rPr>
        <w:t xml:space="preserve">, обратившись в офис Страховщика, либо направить почтой по адресу: </w:t>
      </w:r>
      <w:r>
        <w:rPr>
          <w:lang w:eastAsia="ru-RU"/>
        </w:rPr>
      </w:r>
      <w:r>
        <w:rPr>
          <w:lang w:eastAsia="ru-RU"/>
        </w:rPr>
      </w:r>
    </w:p>
    <w:p>
      <w:pPr>
        <w:pStyle w:val="742"/>
        <w:ind w:left="0" w:firstLine="709"/>
        <w:jc w:val="both"/>
        <w:widowControl/>
        <w:tabs>
          <w:tab w:val="left" w:pos="426" w:leader="none"/>
          <w:tab w:val="left" w:pos="1134" w:leader="none"/>
        </w:tabs>
        <w:rPr>
          <w:lang w:eastAsia="ru-RU"/>
        </w:rPr>
      </w:pPr>
      <w:r>
        <w:rPr>
          <w:lang w:eastAsia="ru-RU"/>
        </w:rPr>
        <w:t xml:space="preserve">указав при этом данные лица, ответственного за убытки, если таковое имеется</w:t>
      </w:r>
      <w:r>
        <w:rPr>
          <w:lang w:eastAsia="ru-RU"/>
        </w:rPr>
        <w:t xml:space="preserve">.</w:t>
      </w:r>
      <w:r>
        <w:rPr>
          <w:lang w:eastAsia="ru-RU"/>
        </w:rPr>
      </w:r>
      <w:r>
        <w:rPr>
          <w:lang w:eastAsia="ru-RU"/>
        </w:rPr>
      </w:r>
    </w:p>
    <w:p>
      <w:pPr>
        <w:pStyle w:val="690"/>
        <w:ind w:firstLine="720"/>
        <w:jc w:val="both"/>
        <w:widowControl w:val="off"/>
      </w:pPr>
      <w:r>
        <w:t xml:space="preserve">Такая же обязанность лежит на Выгодоприобретателе, которому известно о заключении договора страхования в его пользу, если он намерен воспользоваться правом на страховое возмещение;</w:t>
      </w:r>
      <w:r/>
    </w:p>
    <w:p>
      <w:pPr>
        <w:pStyle w:val="690"/>
        <w:ind w:firstLine="720"/>
        <w:jc w:val="both"/>
        <w:widowControl w:val="off"/>
      </w:pPr>
      <w:r>
        <w:t xml:space="preserve">в) </w:t>
      </w:r>
      <w:r>
        <w:t xml:space="preserve">в случае пожара, противоправных действий третьих лиц, залива, а также при наличии лица, виновного в возникновении страхового случая, в ином случае по требованию Страховщика - незамедлительно заявить об этом в соответствующие компетентные органы (органы вну</w:t>
      </w:r>
      <w:r>
        <w:t xml:space="preserve">т</w:t>
      </w:r>
      <w:r>
        <w:t xml:space="preserve">ренних дел, госпожнадзора, аварийные службы и т.д.);</w:t>
      </w:r>
      <w:r/>
    </w:p>
    <w:p>
      <w:pPr>
        <w:pStyle w:val="690"/>
        <w:ind w:firstLine="720"/>
        <w:jc w:val="both"/>
        <w:widowControl w:val="off"/>
      </w:pPr>
      <w:r>
        <w:t xml:space="preserve">г) предоставить Страховщику или его представителям возм</w:t>
      </w:r>
      <w:r>
        <w:t xml:space="preserve">ожность участвовать в мероприятиях по уменьшению убытка и спасанию застрахованного имущества, проводить осмотр и/или обследование поврежденного имущества, расследование в отношении причин, обстоятельств возникновения и размера подлежащего возмещению убытка</w:t>
      </w:r>
      <w:r>
        <w:t xml:space="preserve">, </w:t>
      </w:r>
      <w:r>
        <w:t xml:space="preserve">участвовать в любых комиссиях, создаваемых для расследования </w:t>
      </w:r>
      <w:r>
        <w:t xml:space="preserve">произошедшего события;</w:t>
      </w:r>
      <w:r>
        <w:t xml:space="preserve"> </w:t>
      </w:r>
      <w:r/>
    </w:p>
    <w:p>
      <w:pPr>
        <w:pStyle w:val="690"/>
        <w:ind w:firstLine="720"/>
        <w:jc w:val="both"/>
        <w:widowControl w:val="off"/>
      </w:pPr>
      <w:r>
        <w:t xml:space="preserve">д) п</w:t>
      </w:r>
      <w:r>
        <w:rPr>
          <w:color w:val="000000"/>
        </w:rPr>
        <w:t xml:space="preserve">редоставить </w:t>
      </w:r>
      <w:r>
        <w:t xml:space="preserve">Страховщику</w:t>
      </w:r>
      <w:r>
        <w:rPr>
          <w:color w:val="000000"/>
        </w:rPr>
        <w:t xml:space="preserve"> в двухдневный срок (не считая праздничные и выходные дни) опись поврежденного или утраченного имущества с указанием стоимости поврежденных, или утраченных предметов на день повреждения или утраты (гибели) имущества и стоимости остатков, пригодных для</w:t>
      </w:r>
      <w:r>
        <w:t xml:space="preserve"> дальнейшего использования, с подтверждением этих стоимостей документами;</w:t>
      </w:r>
      <w:r/>
    </w:p>
    <w:p>
      <w:pPr>
        <w:pStyle w:val="690"/>
        <w:ind w:firstLine="720"/>
        <w:jc w:val="both"/>
        <w:widowControl w:val="off"/>
      </w:pPr>
      <w:r>
        <w:t xml:space="preserve">е</w:t>
      </w:r>
      <w:r>
        <w:t xml:space="preserve">) произвести инвентаризацию имущества с участием представителя Страховщика c целью</w:t>
      </w:r>
      <w:r>
        <w:t xml:space="preserve"> </w:t>
      </w:r>
      <w:r>
        <w:t xml:space="preserve">определения остатков</w:t>
      </w:r>
      <w:r>
        <w:t xml:space="preserve">;</w:t>
      </w:r>
      <w:r/>
    </w:p>
    <w:p>
      <w:pPr>
        <w:pStyle w:val="690"/>
        <w:ind w:firstLine="720"/>
        <w:jc w:val="both"/>
        <w:widowControl w:val="off"/>
      </w:pPr>
      <w:r>
        <w:t xml:space="preserve">ж</w:t>
      </w:r>
      <w:r>
        <w:t xml:space="preserve">) по требованию Страховщика сообщить ему в письменном виде всю информацию, необходимую для</w:t>
      </w:r>
      <w:r>
        <w:t xml:space="preserve"> суждения о размере и причинах повреждений или гибели застрахованного имущества, в том </w:t>
      </w:r>
      <w:r>
        <w:t xml:space="preserve">числе предоставить документы, подтверждающие </w:t>
      </w:r>
      <w:r>
        <w:t xml:space="preserve">наступление страхового случая, описывающие обстоятельства его наступления, подтверждающие размер причиненного ущерба, а также иные документы, необходимость предоставления которых определяется характером </w:t>
      </w:r>
      <w:r>
        <w:t xml:space="preserve">произошедшего события </w:t>
      </w:r>
      <w:r>
        <w:t xml:space="preserve">и требованиями законодательства;</w:t>
      </w:r>
      <w:r/>
    </w:p>
    <w:p>
      <w:pPr>
        <w:pStyle w:val="690"/>
        <w:ind w:firstLine="720"/>
        <w:jc w:val="both"/>
        <w:widowControl w:val="off"/>
      </w:pPr>
      <w:r>
        <w:t xml:space="preserve">з</w:t>
      </w:r>
      <w:r>
        <w:t xml:space="preserve">) в случае гибели или повреждения движимого имущества, оборудования и товаров на </w:t>
      </w:r>
      <w:r>
        <w:t xml:space="preserve">складе, в иных случаях по требованию Страховщика, исходя из специфики имущества </w:t>
      </w:r>
      <w:r>
        <w:t xml:space="preserve">– предоставить Страховщику в согласованный срок описи поврежденного, погибшего или утраченного имущества; </w:t>
      </w:r>
      <w:r/>
    </w:p>
    <w:p>
      <w:pPr>
        <w:pStyle w:val="690"/>
        <w:ind w:firstLine="720"/>
        <w:jc w:val="both"/>
        <w:widowControl w:val="off"/>
      </w:pPr>
      <w:r>
        <w:t xml:space="preserve">и</w:t>
      </w:r>
      <w:r>
        <w:t xml:space="preserve">) сохранить пострадавшее имущество в т</w:t>
      </w:r>
      <w:r>
        <w:t xml:space="preserve">ом виде, в котором оно оказалось после страхового случая. Страхователь имеет право изменять картину убытка только, если это диктуется соображениями безопасности, уменьшением размеров ущерба, с согласия Страховщика или по истечении 14 календарных дней после</w:t>
      </w:r>
      <w:r>
        <w:t xml:space="preserve"> уведомления Страховщика об убытке. Если Страхователь намеревается изменить картину страхового случая по вышеуказанным причинам, он обязан наиболее полно зафиксировать картину страхового случая с помощью фотографии, видеосъемки или иным аналогичным образом</w:t>
      </w:r>
      <w:r>
        <w:t xml:space="preserve">;</w:t>
      </w:r>
      <w:r/>
    </w:p>
    <w:p>
      <w:pPr>
        <w:pStyle w:val="690"/>
        <w:ind w:firstLine="720"/>
        <w:jc w:val="both"/>
        <w:widowControl w:val="off"/>
      </w:pPr>
      <w:r>
        <w:t xml:space="preserve">к</w:t>
      </w:r>
      <w:r>
        <w:t xml:space="preserve">) </w:t>
      </w:r>
      <w:r>
        <w:t xml:space="preserve">о</w:t>
      </w:r>
      <w:r>
        <w:t xml:space="preserve">беспечить Страховщика полной информацией, необходимой для осуществления права требования к лицам, ответственным за убытки (суброгация, в с</w:t>
      </w:r>
      <w:r>
        <w:t xml:space="preserve">о</w:t>
      </w:r>
      <w:r>
        <w:t xml:space="preserve">ответствии с положениями ст.965 ГК РФ). </w:t>
      </w:r>
      <w:r/>
    </w:p>
    <w:p>
      <w:pPr>
        <w:pStyle w:val="690"/>
        <w:ind w:firstLine="720"/>
        <w:jc w:val="both"/>
        <w:widowControl w:val="off"/>
      </w:pPr>
      <w:r>
        <w:t xml:space="preserve">3.5.2. Страховщик и/или его представители имеют право участвовать в спасании и сохранении застрахованного имущества, принимая и указывая необходимые для этого меры, однако эти дей</w:t>
      </w:r>
      <w:r>
        <w:t xml:space="preserve">ствия Страховщика или его представителей не могут рассматриваться как признание его обязанности выплачивать страховое возмещение. Если Страхователь препятствует этому, страховое возмещение сокращается в той мере, в которой это привело к увеличению убытка. </w:t>
      </w:r>
      <w:r/>
    </w:p>
    <w:p>
      <w:pPr>
        <w:pStyle w:val="702"/>
        <w:ind w:firstLine="720"/>
        <w:jc w:val="both"/>
        <w:keepNext w:val="0"/>
        <w:rPr>
          <w:b w:val="0"/>
        </w:rPr>
      </w:pPr>
      <w:r>
        <w:rPr>
          <w:b w:val="0"/>
        </w:rPr>
        <w:t xml:space="preserve">3.5.3. </w:t>
      </w:r>
      <w:r>
        <w:rPr>
          <w:b w:val="0"/>
        </w:rPr>
        <w:t xml:space="preserve">Страховщик и/или его представитель приступает к осмотру пострадавшего имущества в течение 7 дней с даты получения от Страхователя извещения о наступлении события, имеющего признаки страхового случая.</w:t>
      </w:r>
      <w:r>
        <w:rPr>
          <w:b w:val="0"/>
        </w:rPr>
      </w:r>
    </w:p>
    <w:p>
      <w:pPr>
        <w:pStyle w:val="702"/>
        <w:ind w:firstLine="720"/>
        <w:jc w:val="both"/>
        <w:keepNext w:val="0"/>
        <w:rPr>
          <w:b w:val="0"/>
        </w:rPr>
      </w:pPr>
      <w:r>
        <w:rPr>
          <w:b w:val="0"/>
        </w:rPr>
        <w:t xml:space="preserve">Представитель Страховщика вправе приступить к осмотру пострадавшего имущества, не дожидаясь извещения Страхователя о страховом случае. Страхователь не вправе препятствовать ему в этом. </w:t>
      </w:r>
      <w:r>
        <w:rPr>
          <w:b w:val="0"/>
        </w:rPr>
      </w:r>
    </w:p>
    <w:p>
      <w:pPr>
        <w:pStyle w:val="701"/>
        <w:ind w:firstLine="720"/>
      </w:pPr>
      <w:r>
        <w:t xml:space="preserve">3.5.4. По результатам осмотра Страховщик составляет Акт осмотра, который подписывается участниками осмотра. При необходимости к работе по составлению Акта привлекаются виновные лица, свид</w:t>
      </w:r>
      <w:r>
        <w:t xml:space="preserve">е</w:t>
      </w:r>
      <w:r>
        <w:t xml:space="preserve">тели и соответствующие специалисты.</w:t>
        <w:tab/>
        <w:t xml:space="preserve">В Акте осмотра приводится перечень поврежденного (уничтоженного, похищенного) имущества, характеристика и степень повреждения.</w:t>
      </w:r>
      <w:r>
        <w:t xml:space="preserve"> </w:t>
      </w:r>
      <w:r>
        <w:t xml:space="preserve">Если виновное лицо (или его доверенный представитель) не явилось на осмотр поврежденного застрахованного имущества, то осмотр и составление Акта осмотра производятся в его отсутствие, о чем делается о</w:t>
      </w:r>
      <w:r>
        <w:t xml:space="preserve">т</w:t>
      </w:r>
      <w:r>
        <w:t xml:space="preserve">метка в Акте осмотра.</w:t>
      </w:r>
      <w:r/>
    </w:p>
    <w:p>
      <w:pPr>
        <w:pStyle w:val="690"/>
        <w:jc w:val="both"/>
        <w:shd w:val="clear" w:color="auto" w:fill="ffffff"/>
        <w:tabs>
          <w:tab w:val="left" w:pos="426" w:leader="none"/>
        </w:tabs>
      </w:pPr>
      <w:r>
        <w:tab/>
        <w:tab/>
        <w:t xml:space="preserve">3.5.5. Страховщик в течение 1</w:t>
      </w:r>
      <w:r>
        <w:t xml:space="preserve">5</w:t>
      </w:r>
      <w:r>
        <w:t xml:space="preserve"> рабочих дней после получения от Страхователя (Выгодоприобретателя) и компетентных органов всех необходимых документов и сведений согласно Правил производит калькуляцию (смету, расчет) ущерба и составляет Страховой акт.</w:t>
      </w:r>
      <w:r/>
    </w:p>
    <w:p>
      <w:pPr>
        <w:pStyle w:val="690"/>
        <w:jc w:val="both"/>
        <w:tabs>
          <w:tab w:val="left" w:pos="426" w:leader="none"/>
        </w:tabs>
      </w:pPr>
      <w:r>
        <w:tab/>
        <w:tab/>
        <w:t xml:space="preserve">3.5.6. После составления </w:t>
      </w:r>
      <w:r>
        <w:t xml:space="preserve">(</w:t>
      </w:r>
      <w:r>
        <w:t xml:space="preserve">утверждения</w:t>
      </w:r>
      <w:r>
        <w:t xml:space="preserve">)</w:t>
      </w:r>
      <w:r>
        <w:t xml:space="preserve"> Страхового акта Страховщик в течение 1</w:t>
      </w:r>
      <w:r>
        <w:t xml:space="preserve">5</w:t>
      </w:r>
      <w:r>
        <w:t xml:space="preserve"> рабочих дней производит выплату страхового возмещения.</w:t>
      </w:r>
      <w:r/>
    </w:p>
    <w:p>
      <w:pPr>
        <w:pStyle w:val="701"/>
      </w:pPr>
      <w:r>
        <w:tab/>
        <w:t xml:space="preserve">3.5.7. В случае отказа в выплате страхового возмещения Страховщик в течение </w:t>
      </w:r>
      <w:r>
        <w:t xml:space="preserve">2</w:t>
      </w:r>
      <w:r>
        <w:t xml:space="preserve">0 рабочих дней направляет сообщение Страхов</w:t>
      </w:r>
      <w:r>
        <w:t xml:space="preserve">а</w:t>
      </w:r>
      <w:r>
        <w:t xml:space="preserve">телю в письменной форме с мотивированным обоснованием причин отказа.</w:t>
      </w:r>
      <w:r/>
    </w:p>
    <w:p>
      <w:pPr>
        <w:pStyle w:val="701"/>
        <w:ind w:firstLine="708"/>
      </w:pPr>
      <w:r>
        <w:t xml:space="preserve">3.5.8. </w:t>
      </w:r>
      <w:r>
        <w:t xml:space="preserve">Если Страхователь (Выгодоприобретатель) отказался от своего права требования к лицу, ответственному за убытки, во</w:t>
      </w:r>
      <w:r>
        <w:t xml:space="preserve">змещенные Страховщиком, или это стало невозможным по вине Страхователя (Выгодоприобретателя), Страховщик освобождается от уплаты страхового возмещения полностью или в соответствующей части и вправе потребовать возврата излишне выплаченной суммы возмещения.</w:t>
      </w:r>
      <w:r/>
    </w:p>
    <w:p>
      <w:pPr>
        <w:pStyle w:val="701"/>
        <w:ind w:firstLine="708"/>
      </w:pPr>
      <w:r>
        <w:t xml:space="preserve">3.6. Прочие права и обязанности Сторон приведены в иных разделах настоящего договора, Правилах</w:t>
      </w:r>
      <w:r>
        <w:t xml:space="preserve">, а</w:t>
      </w:r>
      <w:r>
        <w:t xml:space="preserve"> также могут содержат</w:t>
      </w:r>
      <w:r>
        <w:t xml:space="preserve">ь</w:t>
      </w:r>
      <w:r>
        <w:t xml:space="preserve">ся в п</w:t>
      </w:r>
      <w:r>
        <w:t xml:space="preserve">олисе</w:t>
      </w:r>
      <w:r>
        <w:t xml:space="preserve">. </w:t>
      </w:r>
      <w:r/>
    </w:p>
    <w:p>
      <w:pPr>
        <w:pStyle w:val="701"/>
        <w:ind w:firstLine="708"/>
      </w:pPr>
      <w:r/>
      <w:r/>
    </w:p>
    <w:p>
      <w:pPr>
        <w:pStyle w:val="690"/>
        <w:jc w:val="center"/>
        <w:shd w:val="clear" w:color="auto" w:fill="ffffff"/>
      </w:pPr>
      <w:r>
        <w:rPr>
          <w:b/>
        </w:rPr>
        <w:t xml:space="preserve">4. УСЛОВИЯ ПРЕКРАЩЕНИЯ ДОГОВОРА</w:t>
      </w:r>
      <w:r/>
    </w:p>
    <w:p>
      <w:pPr>
        <w:pStyle w:val="690"/>
        <w:ind w:firstLine="720"/>
      </w:pPr>
      <w:r>
        <w:t xml:space="preserve">4.1. Договор страхования прекращается в случаях:</w:t>
      </w:r>
      <w:r/>
    </w:p>
    <w:p>
      <w:pPr>
        <w:pStyle w:val="690"/>
      </w:pPr>
      <w:r>
        <w:tab/>
      </w:r>
      <w:r>
        <w:t xml:space="preserve">4.1.1.</w:t>
      </w:r>
      <w:r>
        <w:t xml:space="preserve"> </w:t>
      </w:r>
      <w:r>
        <w:t xml:space="preserve">И</w:t>
      </w:r>
      <w:r>
        <w:t xml:space="preserve">стечения срока действия, указанного в договоре</w:t>
      </w:r>
      <w:r>
        <w:t xml:space="preserve"> как день окончания страхования.</w:t>
      </w:r>
      <w:r/>
    </w:p>
    <w:p>
      <w:pPr>
        <w:pStyle w:val="700"/>
        <w:ind w:firstLine="720"/>
        <w:jc w:val="both"/>
      </w:pPr>
      <w:r>
        <w:t xml:space="preserve">4.1.2.</w:t>
      </w:r>
      <w:r>
        <w:t xml:space="preserve"> </w:t>
      </w:r>
      <w:r>
        <w:t xml:space="preserve">И</w:t>
      </w:r>
      <w:r>
        <w:t xml:space="preserve">сполнения Страховщиком обязательств по договору в полном объеме (возмещение ущ</w:t>
      </w:r>
      <w:r>
        <w:t xml:space="preserve">ерба в размере страховой суммы).</w:t>
      </w:r>
      <w:r/>
    </w:p>
    <w:p>
      <w:pPr>
        <w:pStyle w:val="701"/>
        <w:ind w:firstLine="720"/>
      </w:pPr>
      <w:r/>
      <w:commentRangeStart w:id="4"/>
      <w:r>
        <w:t xml:space="preserve">4.1.3.</w:t>
      </w:r>
      <w:r>
        <w:t xml:space="preserve"> </w:t>
      </w:r>
      <w:r>
        <w:t xml:space="preserve">П</w:t>
      </w:r>
      <w:r>
        <w:t xml:space="preserve">о взаимному соглашению Сторон (о намерении досрочного прекращения договора страхования Стороны обязаны письменно уведомить друг друга не менее, чем за 30 календарных дней до предполагаемой даты пр</w:t>
      </w:r>
      <w:r>
        <w:t xml:space="preserve">е</w:t>
      </w:r>
      <w:r>
        <w:t xml:space="preserve">кращения договора страхования</w:t>
      </w:r>
      <w:r>
        <w:t xml:space="preserve">).</w:t>
      </w:r>
      <w:r/>
      <w:commentRangeEnd w:id="4"/>
      <w:r>
        <w:commentReference w:id="4"/>
      </w:r>
      <w:r/>
      <w:r/>
    </w:p>
    <w:p>
      <w:pPr>
        <w:pStyle w:val="701"/>
        <w:ind w:firstLine="720"/>
      </w:pPr>
      <w:r>
        <w:t xml:space="preserve">4.1.4. П</w:t>
      </w:r>
      <w:r>
        <w:t xml:space="preserve">рекращения действия догов</w:t>
      </w:r>
      <w:r>
        <w:t xml:space="preserve">ора страхования по решению суда.</w:t>
      </w:r>
      <w:r/>
    </w:p>
    <w:p>
      <w:pPr>
        <w:pStyle w:val="701"/>
        <w:ind w:firstLine="720"/>
      </w:pPr>
      <w:r>
        <w:t xml:space="preserve">4.1.5. О</w:t>
      </w:r>
      <w:r>
        <w:t xml:space="preserve">тказа Страхователя от изменения условий страхования или от уплаты дополнительной страховой прем</w:t>
      </w:r>
      <w:r>
        <w:t xml:space="preserve">ии при увеличении степени риска.</w:t>
      </w:r>
      <w:r/>
    </w:p>
    <w:p>
      <w:pPr>
        <w:pStyle w:val="701"/>
        <w:ind w:firstLine="720"/>
      </w:pPr>
      <w:r>
        <w:t xml:space="preserve">4.1.6. У</w:t>
      </w:r>
      <w:r>
        <w:t xml:space="preserve">траты лицом, в пользу которого заключен договор страхования, интереса в сохранении застр</w:t>
      </w:r>
      <w:r>
        <w:t xml:space="preserve">а</w:t>
      </w:r>
      <w:r>
        <w:t xml:space="preserve">хованного имущества (прекращение действия договора аренды и т.п.), за исключением случаев, предусмотренных п.</w:t>
      </w:r>
      <w:r>
        <w:t xml:space="preserve"> </w:t>
      </w:r>
      <w:r>
        <w:t xml:space="preserve">4.6</w:t>
      </w:r>
      <w:r>
        <w:t xml:space="preserve">.</w:t>
      </w:r>
      <w:r>
        <w:t xml:space="preserve"> договора</w:t>
      </w:r>
      <w:r>
        <w:t xml:space="preserve">.</w:t>
      </w:r>
      <w:r/>
    </w:p>
    <w:p>
      <w:pPr>
        <w:pStyle w:val="700"/>
        <w:ind w:firstLine="708"/>
        <w:jc w:val="both"/>
      </w:pPr>
      <w:r>
        <w:rPr>
          <w:spacing w:val="-4"/>
        </w:rPr>
        <w:t xml:space="preserve">4.1.7.  Л</w:t>
      </w:r>
      <w:r>
        <w:rPr>
          <w:spacing w:val="-4"/>
        </w:rPr>
        <w:t xml:space="preserve">иквидации Страховщика в порядке, установленном законодательными актами Российской Федерации</w:t>
      </w:r>
      <w:r>
        <w:t xml:space="preserve">.</w:t>
      </w:r>
      <w:r/>
    </w:p>
    <w:p>
      <w:pPr>
        <w:pStyle w:val="690"/>
        <w:ind w:firstLine="709"/>
        <w:jc w:val="both"/>
      </w:pPr>
      <w:r>
        <w:t xml:space="preserve">4.1.8. Ликвидации Страхователя, </w:t>
      </w:r>
      <w:r>
        <w:t xml:space="preserve">являющегося юридическим лицом, или смерти Страхователя, являющегося физическим лицом, за исключением случаев правопреемства или замены Страхователя.</w:t>
      </w:r>
      <w:r/>
      <w:r/>
    </w:p>
    <w:p>
      <w:pPr>
        <w:pStyle w:val="690"/>
        <w:ind w:firstLine="709"/>
        <w:jc w:val="both"/>
      </w:pPr>
      <w:r>
        <w:t xml:space="preserve">4.1.9. В</w:t>
      </w:r>
      <w:r>
        <w:t xml:space="preserve"> других случаях, предусмотренных действующим законодательством Российской Федерации, Правилами и договором страхования.</w:t>
      </w:r>
      <w:r/>
    </w:p>
    <w:p>
      <w:pPr>
        <w:pStyle w:val="690"/>
      </w:pPr>
      <w:r>
        <w:tab/>
        <w:t xml:space="preserve">4.2. Договор страхования прекращается до наступления срока, на который он был заключен, если после его вступления в силу возможность наступ</w:t>
      </w:r>
      <w:r>
        <w:t xml:space="preserve">ления страхового случая отпала, и существование страхового риска прекратилось по обстоятельствам иным, чем страховой случай. К таким обстоятельствам, к примеру, относится гибель застрахованного имущества по причинам иным, чем наступление страхового случая.</w:t>
      </w:r>
      <w:r/>
    </w:p>
    <w:p>
      <w:pPr>
        <w:pStyle w:val="690"/>
        <w:jc w:val="both"/>
      </w:pPr>
      <w:r>
        <w:tab/>
        <w:t xml:space="preserve">При досрочном прекращении договора страхования по обстоятельствам, указанным в настоящем пункте, Страхователю возвращается часть страховой премии за неистекший срок страхования.</w:t>
      </w:r>
      <w:r/>
    </w:p>
    <w:p>
      <w:pPr>
        <w:pStyle w:val="701"/>
      </w:pPr>
      <w:r>
        <w:tab/>
        <w:t xml:space="preserve">4.3. Страхователь вправе отказаться от договора страхования в любое время, если к моменту отказа возможность наступления страхового случая не отпала по обстоятельствам, указанным в п.</w:t>
      </w:r>
      <w:r>
        <w:t xml:space="preserve">4.</w:t>
      </w:r>
      <w:r>
        <w:t xml:space="preserve">2 </w:t>
      </w:r>
      <w:r>
        <w:t xml:space="preserve">договора</w:t>
      </w:r>
      <w:r>
        <w:t xml:space="preserve">. При досрочном отказе Страхователя от договора страхования, в том числе по основаниям, указанным в</w:t>
      </w:r>
      <w:r>
        <w:t xml:space="preserve"> абз.2 настоящего пункта</w:t>
      </w:r>
      <w:r>
        <w:t xml:space="preserve">, уплаченная Страховщику страховая премия не подлежит возврату.</w:t>
      </w:r>
      <w:r/>
    </w:p>
    <w:p>
      <w:pPr>
        <w:pStyle w:val="701"/>
        <w:ind w:firstLine="720"/>
      </w:pPr>
      <w:r>
        <w:t xml:space="preserve">Если иное не предусмотрено соглашением Сторон, неуплата Страхователем страховой премии (страхового взноса)</w:t>
      </w:r>
      <w:r>
        <w:t xml:space="preserve">, в том числе единовременной страховой премии (или первого страхового взноса при уплате в рассрочку), </w:t>
      </w:r>
      <w:r>
        <w:t xml:space="preserve">в установленные договором сроки и в согласованном </w:t>
      </w:r>
      <w:r>
        <w:t xml:space="preserve">Сторон</w:t>
      </w:r>
      <w:r>
        <w:t xml:space="preserve">ами размере приравнивается к досрочному отказу Страхователя от договора страхования. В этом случае действие договора прекращается со дня, следующего за датой очередного срока уплаты страховой премии. Оплаченная часть страх</w:t>
      </w:r>
      <w:r>
        <w:t xml:space="preserve">о</w:t>
      </w:r>
      <w:r>
        <w:t xml:space="preserve">вой премии при этом не возвращается.</w:t>
      </w:r>
      <w:r/>
    </w:p>
    <w:p>
      <w:pPr>
        <w:pStyle w:val="690"/>
        <w:ind w:firstLine="720"/>
        <w:jc w:val="both"/>
      </w:pPr>
      <w:r>
        <w:t xml:space="preserve">4.4. Страховщик вправе досрочно прекратить договор страхования в случаях, предусмотренных действующим законодательством и </w:t>
      </w:r>
      <w:r>
        <w:t xml:space="preserve">не противоречащими ему положениями договора страхования</w:t>
      </w:r>
      <w:r>
        <w:t xml:space="preserve">. </w:t>
      </w:r>
      <w:r/>
    </w:p>
    <w:p>
      <w:pPr>
        <w:pStyle w:val="700"/>
        <w:jc w:val="both"/>
      </w:pPr>
      <w:r>
        <w:tab/>
        <w:t xml:space="preserve">4.5. </w:t>
      </w:r>
      <w:r>
        <w:t xml:space="preserve">При досрочном прекращении договора страхования, в период действия которого имели место события, которые могут послуж</w:t>
      </w:r>
      <w:r>
        <w:t xml:space="preserve">ить причиной предъявления к Страховщику имущественных требований Страхователя (Выгодоприобретателя) по данному договору страхования, он имеет право задержать выплату возвращаемой части страховой премии до окончания выяснения размера страхового возмещения. </w:t>
      </w:r>
      <w:r/>
    </w:p>
    <w:p>
      <w:pPr>
        <w:pStyle w:val="690"/>
        <w:ind w:firstLine="708"/>
        <w:jc w:val="both"/>
      </w:pPr>
      <w:r>
        <w:t xml:space="preserve">4.6. </w:t>
      </w:r>
      <w:r>
        <w:t xml:space="preserve">При переходе прав на застрахованное имущество от лица, в интересах которого был заключен договор страхования, к другому лицу права и обязанности по этому договору переходят к лицу, к к</w:t>
      </w:r>
      <w:r>
        <w:t xml:space="preserve">о</w:t>
      </w:r>
      <w:r>
        <w:t xml:space="preserve">торому перешли права на данное имущество, за исключением случаев принудительного изъятия имущества по основаниям, указанным в п.2 статьи 235 ГК РФ, и отказа от права собственности (статья 236 ГК РФ).</w:t>
      </w:r>
      <w:r/>
    </w:p>
    <w:p>
      <w:pPr>
        <w:pStyle w:val="690"/>
        <w:jc w:val="both"/>
      </w:pPr>
      <w:r>
        <w:tab/>
        <w:t xml:space="preserve">Лицо, к которому перешли права на застрахованное имущество, должно незамедлительно письменно уведомить об этом Страховщика</w:t>
      </w:r>
      <w:r>
        <w:t xml:space="preserve">,</w:t>
      </w:r>
      <w:r>
        <w:t xml:space="preserve"> </w:t>
      </w:r>
      <w:r>
        <w:t xml:space="preserve">обратившись в офис Страховщика, либо направить </w:t>
      </w:r>
      <w:r>
        <w:t xml:space="preserve">уведомление </w:t>
      </w:r>
      <w:r>
        <w:t xml:space="preserve">с приложением документов, подтверждающих переход права на застрахованное имущество, </w:t>
      </w:r>
      <w:r>
        <w:t xml:space="preserve">по электронной почте </w:t>
      </w:r>
      <w:r/>
    </w:p>
    <w:p>
      <w:pPr>
        <w:pStyle w:val="690"/>
        <w:ind w:firstLine="708"/>
        <w:jc w:val="both"/>
      </w:pPr>
      <w:r>
        <w:t xml:space="preserve">При реорганизации Страхователя–юридического лица его права и обязанности по договору страхования переходят к соответствующему правопреемнику в порядке, определяемом де</w:t>
      </w:r>
      <w:r>
        <w:t xml:space="preserve">й</w:t>
      </w:r>
      <w:r>
        <w:t xml:space="preserve">ствующим законодательством РФ.</w:t>
      </w:r>
      <w:r/>
    </w:p>
    <w:p>
      <w:pPr>
        <w:pStyle w:val="700"/>
        <w:ind w:firstLine="708"/>
        <w:jc w:val="both"/>
        <w:rPr>
          <w:b/>
        </w:rPr>
      </w:pPr>
      <w:r>
        <w:t xml:space="preserve">Если вышеуказанные обстоятельства повлекли увеличение степени риска по договору стр</w:t>
      </w:r>
      <w:r>
        <w:t xml:space="preserve">ахования, действуют положения </w:t>
      </w:r>
      <w:r>
        <w:t xml:space="preserve">Правил.</w:t>
      </w:r>
      <w:r>
        <w:rPr>
          <w:b/>
        </w:rPr>
      </w:r>
      <w:r>
        <w:rPr>
          <w:b/>
        </w:rPr>
      </w:r>
    </w:p>
    <w:p>
      <w:pPr>
        <w:pStyle w:val="690"/>
        <w:ind w:firstLine="708"/>
        <w:jc w:val="both"/>
      </w:pPr>
      <w:r>
        <w:t xml:space="preserve">4.7. Прекращение действия договора страхования влечет за собой одновременное прекращение дейс</w:t>
      </w:r>
      <w:r>
        <w:t xml:space="preserve">т</w:t>
      </w:r>
      <w:r>
        <w:t xml:space="preserve">вия страхования, но не влечет прекращение обязательств </w:t>
      </w:r>
      <w:r>
        <w:t xml:space="preserve">Сторон</w:t>
      </w:r>
      <w:r>
        <w:t xml:space="preserve">, вытекающих из договора и возникших до м</w:t>
      </w:r>
      <w:r>
        <w:t xml:space="preserve">о</w:t>
      </w:r>
      <w:r>
        <w:t xml:space="preserve">мента его прекращения (в том числе обязанности Страховщика произвести страховую выплату по страховым случаям, произошедшим в период действия страхования).</w:t>
      </w:r>
      <w:r/>
    </w:p>
    <w:p>
      <w:pPr>
        <w:pStyle w:val="690"/>
        <w:ind w:firstLine="708"/>
        <w:jc w:val="both"/>
      </w:pPr>
      <w:r/>
      <w:r/>
    </w:p>
    <w:p>
      <w:pPr>
        <w:pStyle w:val="690"/>
        <w:jc w:val="center"/>
        <w:rPr>
          <w:b/>
        </w:rPr>
      </w:pPr>
      <w:r>
        <w:rPr>
          <w:b/>
        </w:rPr>
        <w:t xml:space="preserve">5. ОСОБЫЕ УСЛОВИЯ</w:t>
      </w:r>
      <w:r>
        <w:rPr>
          <w:b/>
        </w:rPr>
      </w:r>
    </w:p>
    <w:p>
      <w:pPr>
        <w:pStyle w:val="690"/>
        <w:ind w:firstLine="708"/>
        <w:jc w:val="both"/>
      </w:pPr>
      <w:r>
        <w:t xml:space="preserve">5.</w:t>
      </w:r>
      <w:r>
        <w:t xml:space="preserve">1</w:t>
      </w:r>
      <w:r>
        <w:t xml:space="preserve">.</w:t>
      </w:r>
      <w:r>
        <w:rPr>
          <w:b/>
        </w:rPr>
        <w:t xml:space="preserve"> </w:t>
      </w:r>
      <w:bookmarkStart w:id="0" w:name="_Hlk160544371"/>
      <w:r>
        <w:t xml:space="preserve">В рамках настоящего </w:t>
      </w:r>
      <w:r>
        <w:t xml:space="preserve">д</w:t>
      </w:r>
      <w:r>
        <w:t xml:space="preserve">оговора страховыми событиями не являются</w:t>
      </w:r>
      <w:r>
        <w:rPr>
          <w:b/>
        </w:rPr>
        <w:t xml:space="preserve"> </w:t>
      </w:r>
      <w:r>
        <w:t xml:space="preserve">случаи, предусмотренные Правил, а также гибель (уничтожение), повреждение или утрата застрахованного имущества вследствие:</w:t>
      </w:r>
      <w:r/>
    </w:p>
    <w:p>
      <w:pPr>
        <w:pStyle w:val="690"/>
        <w:ind w:firstLine="708"/>
        <w:jc w:val="both"/>
        <w:rPr>
          <w:shd w:val="clear" w:color="auto" w:fill="ffffff"/>
        </w:rPr>
      </w:pPr>
      <w:r>
        <w:t xml:space="preserve">5.1.</w:t>
      </w:r>
      <w:r>
        <w:t xml:space="preserve">1</w:t>
      </w:r>
      <w:r>
        <w:t xml:space="preserve">.</w:t>
      </w:r>
      <w:r>
        <w:t xml:space="preserve"> </w:t>
      </w:r>
      <w:r>
        <w:rPr>
          <w:shd w:val="clear" w:color="auto" w:fill="ffffff"/>
        </w:rPr>
        <w:t xml:space="preserve">краж</w:t>
      </w:r>
      <w:r>
        <w:rPr>
          <w:shd w:val="clear" w:color="auto" w:fill="ffffff"/>
        </w:rPr>
        <w:t xml:space="preserve">и, отличной </w:t>
      </w:r>
      <w:r>
        <w:rPr>
          <w:shd w:val="clear" w:color="auto" w:fill="ffffff"/>
        </w:rPr>
        <w:t xml:space="preserve">от кражи </w:t>
      </w:r>
      <w:r>
        <w:rPr>
          <w:shd w:val="clear" w:color="auto" w:fill="ffffff"/>
        </w:rPr>
        <w:t xml:space="preserve">с незаконным проникновением</w:t>
      </w:r>
      <w:r>
        <w:t xml:space="preserve"> в жилище, помещение либо иное хранилище</w:t>
      </w:r>
      <w:r>
        <w:rPr>
          <w:shd w:val="clear" w:color="auto" w:fill="ffffff"/>
        </w:rPr>
        <w:t xml:space="preserve">;</w:t>
      </w:r>
      <w:r>
        <w:rPr>
          <w:shd w:val="clear" w:color="auto" w:fill="ffffff"/>
        </w:rPr>
      </w:r>
      <w:r>
        <w:rPr>
          <w:shd w:val="clear" w:color="auto" w:fill="ffffff"/>
        </w:rPr>
      </w:r>
    </w:p>
    <w:p>
      <w:pPr>
        <w:pStyle w:val="690"/>
        <w:ind w:firstLine="708"/>
        <w:jc w:val="both"/>
        <w:rPr>
          <w:shd w:val="clear" w:color="auto" w:fill="ffffff"/>
        </w:rPr>
      </w:pPr>
      <w:r>
        <w:rPr>
          <w:shd w:val="clear" w:color="auto" w:fill="ffffff"/>
        </w:rPr>
        <w:t xml:space="preserve">5.1.</w:t>
      </w:r>
      <w:r>
        <w:rPr>
          <w:shd w:val="clear" w:color="auto" w:fill="ffffff"/>
        </w:rPr>
        <w:t xml:space="preserve">2</w:t>
      </w:r>
      <w:r>
        <w:rPr>
          <w:shd w:val="clear" w:color="auto" w:fill="ffffff"/>
        </w:rPr>
        <w:t xml:space="preserve">. действий сотрудников Страхователя, </w:t>
      </w:r>
      <w:r>
        <w:rPr>
          <w:shd w:val="clear" w:color="auto" w:fill="ffffff"/>
        </w:rPr>
        <w:t xml:space="preserve">и лиц, </w:t>
      </w:r>
      <w:r>
        <w:rPr>
          <w:shd w:val="clear" w:color="auto" w:fill="ffffff"/>
        </w:rPr>
        <w:t xml:space="preserve">допущенных к р</w:t>
      </w:r>
      <w:r>
        <w:rPr>
          <w:shd w:val="clear" w:color="auto" w:fill="ffffff"/>
        </w:rPr>
        <w:t xml:space="preserve">аботе на территории страхования;</w:t>
      </w:r>
      <w:r>
        <w:rPr>
          <w:shd w:val="clear" w:color="auto" w:fill="ffffff"/>
        </w:rPr>
      </w:r>
      <w:r>
        <w:rPr>
          <w:shd w:val="clear" w:color="auto" w:fill="ffffff"/>
        </w:rPr>
      </w:r>
    </w:p>
    <w:p>
      <w:pPr>
        <w:pStyle w:val="690"/>
        <w:ind w:firstLine="708"/>
        <w:jc w:val="both"/>
        <w:rPr>
          <w:shd w:val="clear" w:color="auto" w:fill="ffffff"/>
        </w:rPr>
      </w:pPr>
      <w:r>
        <w:rPr>
          <w:shd w:val="clear" w:color="auto" w:fill="ffffff"/>
        </w:rPr>
        <w:t xml:space="preserve">5.1.</w:t>
      </w:r>
      <w:r>
        <w:rPr>
          <w:shd w:val="clear" w:color="auto" w:fill="ffffff"/>
        </w:rPr>
        <w:t xml:space="preserve">3</w:t>
      </w:r>
      <w:r>
        <w:rPr>
          <w:shd w:val="clear" w:color="auto" w:fill="ffffff"/>
        </w:rPr>
        <w:t xml:space="preserve">. в результате непринятия Страхователем (его работниками или представителями) мер по уменьшению последствий события, имеющего признаки страхового случая.</w:t>
      </w:r>
      <w:r>
        <w:rPr>
          <w:shd w:val="clear" w:color="auto" w:fill="ffffff"/>
        </w:rPr>
      </w:r>
      <w:r>
        <w:rPr>
          <w:shd w:val="clear" w:color="auto" w:fill="ffffff"/>
        </w:rPr>
      </w:r>
    </w:p>
    <w:p>
      <w:pPr>
        <w:pStyle w:val="690"/>
        <w:ind w:firstLine="708"/>
        <w:jc w:val="both"/>
      </w:pPr>
      <w:r>
        <w:t xml:space="preserve">5.2. При страховании имущества в обороте/ на хранении в дополнение к исключениям и огра</w:t>
      </w:r>
      <w:r>
        <w:t xml:space="preserve">ничениям, установленным в </w:t>
      </w:r>
      <w:r>
        <w:t xml:space="preserve">Правил</w:t>
      </w:r>
      <w:r>
        <w:t xml:space="preserve">ах</w:t>
      </w:r>
      <w:r>
        <w:t xml:space="preserve"> страхования, не признаются страховым случаем:</w:t>
      </w:r>
      <w:r/>
    </w:p>
    <w:p>
      <w:pPr>
        <w:pStyle w:val="690"/>
        <w:ind w:firstLine="708"/>
        <w:jc w:val="both"/>
      </w:pPr>
      <w:r>
        <w:t xml:space="preserve">5.2.1</w:t>
      </w:r>
      <w:r>
        <w:t xml:space="preserve">.</w:t>
      </w:r>
      <w:r>
        <w:t xml:space="preserve"> утрата или повреждение застрахованного имущества в результате воздействия влажности помещения, плесени, грибка; попадания прямых солнечных лучей и т.п.;</w:t>
      </w:r>
      <w:r/>
    </w:p>
    <w:p>
      <w:pPr>
        <w:pStyle w:val="690"/>
        <w:ind w:firstLine="720"/>
        <w:jc w:val="both"/>
      </w:pPr>
      <w:r>
        <w:t xml:space="preserve">5.2.3</w:t>
      </w:r>
      <w:r>
        <w:t xml:space="preserve">.</w:t>
      </w:r>
      <w:r>
        <w:t xml:space="preserve"> повреждение имущества, расположенного на высоте менее 20 см от пола</w:t>
      </w:r>
      <w:r>
        <w:t xml:space="preserve">,</w:t>
      </w:r>
      <w:r>
        <w:t xml:space="preserve"> в результате событи</w:t>
      </w:r>
      <w:r>
        <w:t xml:space="preserve">й, указанных в </w:t>
      </w:r>
      <w:r>
        <w:t xml:space="preserve">Правил</w:t>
      </w:r>
      <w:r>
        <w:t xml:space="preserve">ах</w:t>
      </w:r>
      <w:r>
        <w:t xml:space="preserve">;</w:t>
      </w:r>
      <w:r/>
    </w:p>
    <w:p>
      <w:pPr>
        <w:pStyle w:val="690"/>
        <w:ind w:firstLine="708"/>
        <w:jc w:val="both"/>
        <w:rPr>
          <w:shd w:val="clear" w:color="auto" w:fill="ffffff"/>
        </w:rPr>
      </w:pPr>
      <w:r>
        <w:t xml:space="preserve">5.2.</w:t>
      </w:r>
      <w:r>
        <w:t xml:space="preserve">4</w:t>
      </w:r>
      <w:r>
        <w:t xml:space="preserve">.</w:t>
      </w:r>
      <w:r>
        <w:t xml:space="preserve"> утрата и/или повреждение застрахованного имущества в результате</w:t>
      </w:r>
      <w:r>
        <w:rPr>
          <w:shd w:val="clear" w:color="auto" w:fill="ffffff"/>
        </w:rPr>
        <w:t xml:space="preserve"> воздействия насекомых (в том числе моли), грызунов, червей.</w:t>
      </w:r>
      <w:bookmarkEnd w:id="0"/>
      <w:r>
        <w:rPr>
          <w:shd w:val="clear" w:color="auto" w:fill="ffffff"/>
        </w:rPr>
      </w:r>
      <w:r>
        <w:rPr>
          <w:shd w:val="clear" w:color="auto" w:fill="ffffff"/>
        </w:rPr>
      </w:r>
    </w:p>
    <w:p>
      <w:pPr>
        <w:pStyle w:val="690"/>
        <w:ind w:firstLine="708"/>
        <w:jc w:val="both"/>
      </w:pPr>
      <w:r/>
      <w:r/>
    </w:p>
    <w:p>
      <w:pPr>
        <w:pStyle w:val="690"/>
        <w:jc w:val="center"/>
        <w:rPr>
          <w:b/>
        </w:rPr>
      </w:pPr>
      <w:r>
        <w:rPr>
          <w:b/>
        </w:rPr>
      </w:r>
      <w:commentRangeStart w:id="5"/>
      <w:r>
        <w:rPr>
          <w:b/>
        </w:rPr>
        <w:t xml:space="preserve">6. ИНЫЕ ПОЛОЖЕНИЯ</w:t>
      </w:r>
      <w:r>
        <w:rPr>
          <w:b/>
        </w:rPr>
      </w:r>
      <w:commentRangeEnd w:id="5"/>
      <w:r>
        <w:commentReference w:id="5"/>
      </w:r>
      <w:r/>
      <w:r>
        <w:rPr>
          <w:b/>
        </w:rPr>
      </w:r>
    </w:p>
    <w:p>
      <w:pPr>
        <w:pStyle w:val="701"/>
        <w:ind w:firstLine="708"/>
      </w:pPr>
      <w:r>
        <w:t xml:space="preserve">6.1. </w:t>
      </w:r>
      <w:r>
        <w:t xml:space="preserve"> </w:t>
      </w:r>
      <w:r>
        <w:t xml:space="preserve">Правила являются неотъемлемой частью настоящего договора. Они вручены Страхователю, кот</w:t>
      </w:r>
      <w:r>
        <w:t xml:space="preserve">о</w:t>
      </w:r>
      <w:r>
        <w:t xml:space="preserve">рый с ними ознакомлен и обязуется выполнять.</w:t>
      </w:r>
      <w:r>
        <w:t xml:space="preserve"> Правила страхования размещены на </w:t>
      </w:r>
      <w:r>
        <w:t xml:space="preserve">официальном сайте Страховщика в сети «Интернет» по ссылке</w:t>
      </w:r>
      <w:r/>
    </w:p>
    <w:p>
      <w:pPr>
        <w:pStyle w:val="690"/>
        <w:ind w:firstLine="720"/>
        <w:jc w:val="both"/>
      </w:pPr>
      <w:r>
        <w:t xml:space="preserve">6.2. Во всем остальном, не предусмотренном настоящим договором, Стороны руководствуются Правилами и действующим законодательством РФ.</w:t>
      </w:r>
      <w:r/>
    </w:p>
    <w:p>
      <w:pPr>
        <w:pStyle w:val="690"/>
        <w:ind w:firstLine="720"/>
        <w:jc w:val="both"/>
      </w:pPr>
      <w:r>
        <w:t xml:space="preserve">6.3. В случае расхождения положений настоящего договора с Правилами преимущественную силу имеют положения настоящего договора.</w:t>
      </w:r>
      <w:r/>
    </w:p>
    <w:p>
      <w:pPr>
        <w:pStyle w:val="690"/>
        <w:jc w:val="both"/>
      </w:pPr>
      <w:r>
        <w:tab/>
      </w:r>
      <w:r>
        <w:t xml:space="preserve">6</w:t>
      </w:r>
      <w:r>
        <w:t xml:space="preserve">.</w:t>
      </w:r>
      <w:r>
        <w:t xml:space="preserve">4</w:t>
      </w:r>
      <w:r>
        <w:t xml:space="preserve">. Споры, возникающие по договору страхования, разрешаются путем переговоров, с привлечением, при необходимости, специально созданной экспертной комиссии. При недостижении соглашения спор </w:t>
      </w:r>
      <w:r>
        <w:t xml:space="preserve">рассматривается в порядке, предусмотренном действующим законодательством Росси</w:t>
      </w:r>
      <w:r>
        <w:t xml:space="preserve">й</w:t>
      </w:r>
      <w:r>
        <w:t xml:space="preserve">ской Федерации. </w:t>
      </w:r>
      <w:r/>
    </w:p>
    <w:p>
      <w:pPr>
        <w:pStyle w:val="722"/>
        <w:rPr>
          <w:spacing w:val="-4"/>
        </w:rPr>
      </w:pPr>
      <w:r>
        <w:rPr>
          <w:spacing w:val="-4"/>
        </w:rPr>
        <w:tab/>
        <w:t xml:space="preserve">6.5. Ответственность Сторон за неисполнение обязательств по настоящему договору регламент</w:t>
      </w:r>
      <w:r>
        <w:rPr>
          <w:spacing w:val="-4"/>
        </w:rPr>
        <w:t xml:space="preserve">и</w:t>
      </w:r>
      <w:r>
        <w:rPr>
          <w:spacing w:val="-4"/>
        </w:rPr>
        <w:t xml:space="preserve">руется нормами действующего законодательства Российской Федерации. При этом положения статьи 317.1 Гражданского Кодекса Росси</w:t>
      </w:r>
      <w:r>
        <w:rPr>
          <w:spacing w:val="-4"/>
        </w:rPr>
        <w:t xml:space="preserve">й</w:t>
      </w:r>
      <w:r>
        <w:rPr>
          <w:spacing w:val="-4"/>
        </w:rPr>
        <w:t xml:space="preserve">ской Федерации не применяются.</w:t>
      </w:r>
      <w:r>
        <w:rPr>
          <w:spacing w:val="-4"/>
        </w:rPr>
      </w:r>
      <w:r>
        <w:rPr>
          <w:spacing w:val="-4"/>
        </w:rPr>
      </w:r>
    </w:p>
    <w:p>
      <w:pPr>
        <w:pStyle w:val="690"/>
        <w:ind w:firstLine="709"/>
        <w:jc w:val="both"/>
      </w:pPr>
      <w:r>
        <w:t xml:space="preserve">6.6. </w:t>
      </w:r>
      <w:r>
        <w:t xml:space="preserve">Настоящий договор составлен в 2-х экземплярах, имеющих одинаковую юридическую силу, по одному экземпляру для каждой Стороны.</w:t>
      </w:r>
      <w:r/>
    </w:p>
    <w:p>
      <w:pPr>
        <w:pStyle w:val="690"/>
        <w:ind w:firstLine="720"/>
        <w:jc w:val="both"/>
      </w:pPr>
      <w:r>
        <w:t xml:space="preserve">6</w:t>
      </w:r>
      <w:r>
        <w:t xml:space="preserve">.</w:t>
      </w:r>
      <w:r>
        <w:t xml:space="preserve">7</w:t>
      </w:r>
      <w:r>
        <w:t xml:space="preserve">. К настоящему договору прилагаются и являются его неотъемлемой частью:</w:t>
      </w:r>
      <w:r/>
    </w:p>
    <w:p>
      <w:pPr>
        <w:pStyle w:val="690"/>
        <w:jc w:val="both"/>
      </w:pPr>
      <w:r>
        <w:t xml:space="preserve">Приложение </w:t>
      </w:r>
      <w:r>
        <w:t xml:space="preserve">№ 1</w:t>
      </w:r>
      <w:r>
        <w:t xml:space="preserve"> – Правила</w:t>
      </w:r>
      <w:r>
        <w:t xml:space="preserve"> страхования от огня и других опасностей имущества юридических лиц.</w:t>
      </w:r>
      <w:r/>
    </w:p>
    <w:p>
      <w:pPr>
        <w:pStyle w:val="690"/>
        <w:jc w:val="both"/>
      </w:pPr>
      <w:r>
        <w:t xml:space="preserve">Приложение </w:t>
      </w:r>
      <w:r>
        <w:t xml:space="preserve">№ 2</w:t>
      </w:r>
      <w:r>
        <w:t xml:space="preserve"> – Заявление на страхование от огня и других опасностей имущества юридических лиц</w:t>
      </w:r>
      <w:r>
        <w:t xml:space="preserve">.</w:t>
      </w:r>
      <w:r/>
    </w:p>
    <w:p>
      <w:pPr>
        <w:pStyle w:val="690"/>
        <w:jc w:val="both"/>
      </w:pPr>
      <w:r>
        <w:t xml:space="preserve">Приложение </w:t>
      </w:r>
      <w:r>
        <w:t xml:space="preserve">№</w:t>
      </w:r>
      <w:r>
        <w:t xml:space="preserve"> </w:t>
      </w:r>
      <w:r>
        <w:t xml:space="preserve">_</w:t>
      </w:r>
      <w:r>
        <w:t xml:space="preserve"> </w:t>
      </w:r>
      <w:r>
        <w:t xml:space="preserve">–</w:t>
      </w:r>
      <w:r>
        <w:t xml:space="preserve"> </w:t>
      </w:r>
      <w:r>
        <w:t xml:space="preserve">Опись ________________.</w:t>
      </w:r>
      <w:r/>
    </w:p>
    <w:p>
      <w:pPr>
        <w:pStyle w:val="690"/>
        <w:jc w:val="center"/>
        <w:rPr>
          <w:b/>
        </w:rPr>
      </w:pPr>
      <w:r>
        <w:rPr>
          <w:b/>
        </w:rPr>
      </w:r>
      <w:r>
        <w:rPr>
          <w:b/>
        </w:rPr>
      </w:r>
    </w:p>
    <w:p>
      <w:pPr>
        <w:pStyle w:val="690"/>
        <w:jc w:val="center"/>
        <w:rPr>
          <w:b/>
        </w:rPr>
      </w:pPr>
      <w:r>
        <w:rPr>
          <w:b/>
        </w:rPr>
        <w:t xml:space="preserve">7. </w:t>
      </w:r>
      <w:r>
        <w:rPr>
          <w:b/>
        </w:rPr>
        <w:t xml:space="preserve">АДРЕСА</w:t>
      </w:r>
      <w:r>
        <w:rPr>
          <w:b/>
        </w:rPr>
        <w:t xml:space="preserve">,</w:t>
      </w:r>
      <w:r>
        <w:rPr>
          <w:b/>
        </w:rPr>
        <w:t xml:space="preserve"> РЕКВИЗИТЫ </w:t>
      </w:r>
      <w:r>
        <w:rPr>
          <w:b/>
        </w:rPr>
        <w:t xml:space="preserve">И ПОДПИСИ </w:t>
      </w:r>
      <w:r>
        <w:rPr>
          <w:b/>
        </w:rPr>
        <w:t xml:space="preserve">СТОРОН</w:t>
      </w:r>
      <w:r>
        <w:rPr>
          <w:b/>
        </w:rPr>
      </w:r>
    </w:p>
    <w:tbl>
      <w:tblPr>
        <w:tblW w:w="0" w:type="auto"/>
        <w:tblInd w:w="0" w:type="dxa"/>
        <w:tblLayout w:type="fixed"/>
        <w:tblCellMar>
          <w:left w:w="70" w:type="dxa"/>
          <w:top w:w="0" w:type="dxa"/>
          <w:right w:w="70" w:type="dxa"/>
          <w:bottom w:w="0" w:type="dxa"/>
        </w:tblCellMar>
        <w:tblLook w:val="04A0" w:firstRow="1" w:lastRow="0" w:firstColumn="1" w:lastColumn="0" w:noHBand="0" w:noVBand="1"/>
      </w:tblPr>
      <w:tblGrid>
        <w:gridCol w:w="4890"/>
        <w:gridCol w:w="567"/>
        <w:gridCol w:w="4464"/>
      </w:tblGrid>
      <w:tr>
        <w:tblPrEx/>
        <w:trPr>
          <w:cantSplit/>
        </w:trPr>
        <w:tc>
          <w:tcPr>
            <w:tcBorders>
              <w:top w:val="none" w:color="000000" w:sz="0" w:space="0"/>
              <w:left w:val="none" w:color="000000" w:sz="0" w:space="0"/>
              <w:bottom w:val="none" w:color="000000" w:sz="0" w:space="0"/>
              <w:right w:val="none" w:color="000000" w:sz="0" w:space="0"/>
            </w:tcBorders>
            <w:tcW w:w="4890" w:type="dxa"/>
            <w:vAlign w:val="top"/>
            <w:textDirection w:val="lrTb"/>
            <w:noWrap w:val="false"/>
          </w:tcPr>
          <w:p>
            <w:pPr>
              <w:pStyle w:val="690"/>
              <w:rPr>
                <w:b/>
              </w:rPr>
            </w:pPr>
            <w:r>
              <w:rPr>
                <w:b/>
              </w:rPr>
              <w:t xml:space="preserve">СТРАХОВЩИК</w:t>
            </w:r>
            <w:r>
              <w:rPr>
                <w:b/>
              </w:rPr>
            </w:r>
          </w:p>
          <w:p>
            <w:pPr>
              <w:pStyle w:val="712"/>
              <w:rPr>
                <w:rFonts w:ascii="Times New Roman" w:hAnsi="Times New Roman"/>
                <w:b/>
              </w:rPr>
            </w:pPr>
            <w:r>
              <w:rPr>
                <w:rFonts w:ascii="Times New Roman" w:hAnsi="Times New Roman"/>
                <w:b/>
              </w:rPr>
            </w:r>
            <w:r>
              <w:rPr>
                <w:rFonts w:ascii="Times New Roman" w:hAnsi="Times New Roman"/>
                <w:b/>
              </w:rP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690"/>
              <w:jc w:val="center"/>
              <w:rPr>
                <w:b/>
              </w:rPr>
            </w:pPr>
            <w:r>
              <w:rPr>
                <w:b/>
              </w:rPr>
            </w:r>
            <w:r>
              <w:rPr>
                <w:b/>
              </w:rPr>
            </w:r>
          </w:p>
        </w:tc>
        <w:tc>
          <w:tcPr>
            <w:tcBorders>
              <w:top w:val="none" w:color="000000" w:sz="0" w:space="0"/>
              <w:left w:val="none" w:color="000000" w:sz="0" w:space="0"/>
              <w:bottom w:val="none" w:color="000000" w:sz="0" w:space="0"/>
              <w:right w:val="none" w:color="000000" w:sz="0" w:space="0"/>
            </w:tcBorders>
            <w:tcW w:w="4464" w:type="dxa"/>
            <w:vAlign w:val="top"/>
            <w:textDirection w:val="lrTb"/>
            <w:noWrap w:val="false"/>
          </w:tcPr>
          <w:p>
            <w:pPr>
              <w:pStyle w:val="690"/>
              <w:rPr>
                <w:b/>
              </w:rPr>
            </w:pPr>
            <w:r>
              <w:rPr>
                <w:b/>
              </w:rPr>
              <w:t xml:space="preserve">СТРАХОВАТЕЛЬ</w:t>
            </w:r>
            <w:r>
              <w:rPr>
                <w:b/>
              </w:rPr>
            </w:r>
          </w:p>
          <w:p>
            <w:pPr>
              <w:pStyle w:val="690"/>
              <w:rPr>
                <w:b/>
              </w:rPr>
            </w:pPr>
            <w:r>
              <w:t xml:space="preserve">Общество с ограниченной ответственности «Полигон» </w:t>
            </w:r>
            <w:r>
              <w:t xml:space="preserve"> </w:t>
            </w:r>
            <w:r>
              <w:rPr>
                <w:b/>
              </w:rPr>
            </w:r>
            <w:r>
              <w:rPr>
                <w:b/>
              </w:rPr>
            </w:r>
          </w:p>
        </w:tc>
      </w:tr>
      <w:tr>
        <w:tblPrEx/>
        <w:trPr>
          <w:cantSplit/>
        </w:trPr>
        <w:tc>
          <w:tcPr>
            <w:tcBorders>
              <w:top w:val="none" w:color="000000" w:sz="0" w:space="0"/>
              <w:left w:val="none" w:color="000000" w:sz="0" w:space="0"/>
              <w:bottom w:val="none" w:color="000000" w:sz="0" w:space="0"/>
              <w:right w:val="none" w:color="000000" w:sz="0" w:space="0"/>
            </w:tcBorders>
            <w:tcW w:w="4890" w:type="dxa"/>
            <w:vAlign w:val="top"/>
            <w:textDirection w:val="lrTb"/>
            <w:noWrap w:val="false"/>
          </w:tcPr>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740"/>
              <w:spacing w:before="0" w:beforeAutospacing="0" w:after="0" w:afterAutospacing="0"/>
              <w:rPr>
                <w:rFonts w:eastAsia="Arial Unicode MS"/>
                <w:sz w:val="20"/>
                <w:szCs w:val="20"/>
              </w:rPr>
            </w:pPr>
            <w:r>
              <w:rPr>
                <w:rFonts w:eastAsia="Arial Unicode MS"/>
                <w:sz w:val="20"/>
                <w:szCs w:val="20"/>
              </w:rPr>
            </w:r>
            <w:r>
              <w:rPr>
                <w:rFonts w:eastAsia="Arial Unicode MS"/>
                <w:sz w:val="20"/>
                <w:szCs w:val="20"/>
              </w:rPr>
            </w:r>
          </w:p>
          <w:p>
            <w:pPr>
              <w:pStyle w:val="690"/>
              <w:jc w:val="both"/>
            </w:pPr>
            <w:r/>
            <w:r/>
          </w:p>
          <w:p>
            <w:pPr>
              <w:pStyle w:val="690"/>
              <w:jc w:val="both"/>
            </w:pPr>
            <w:r>
              <w:t xml:space="preserve">________________  ______________</w:t>
            </w:r>
            <w:r/>
          </w:p>
          <w:p>
            <w:pPr>
              <w:pStyle w:val="690"/>
              <w:jc w:val="both"/>
            </w:pPr>
            <w:r>
              <w:t xml:space="preserve">(подпись)</w:t>
            </w:r>
            <w:r/>
          </w:p>
          <w:p>
            <w:pPr>
              <w:pStyle w:val="690"/>
              <w:jc w:val="both"/>
            </w:pPr>
            <w:r>
              <w:t xml:space="preserve">М.П.</w:t>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690"/>
              <w:jc w:val="both"/>
            </w:pPr>
            <w:r>
              <w:t xml:space="preserve"> </w:t>
            </w:r>
            <w:r/>
          </w:p>
        </w:tc>
        <w:tc>
          <w:tcPr>
            <w:tcBorders>
              <w:top w:val="none" w:color="000000" w:sz="0" w:space="0"/>
              <w:left w:val="none" w:color="000000" w:sz="0" w:space="0"/>
              <w:bottom w:val="none" w:color="000000" w:sz="0" w:space="0"/>
              <w:right w:val="none" w:color="000000" w:sz="0" w:space="0"/>
            </w:tcBorders>
            <w:tcW w:w="4464" w:type="dxa"/>
            <w:vAlign w:val="top"/>
            <w:textDirection w:val="lrTb"/>
            <w:noWrap w:val="false"/>
          </w:tcPr>
          <w:p>
            <w:pPr>
              <w:pStyle w:val="690"/>
            </w:pPr>
            <w:r>
              <w:t xml:space="preserve">Юридический адрес: 675007 г. Благовещенск ул. Горького, д.300, п.1</w:t>
            </w:r>
            <w:r/>
          </w:p>
          <w:p>
            <w:pPr>
              <w:pStyle w:val="690"/>
            </w:pPr>
            <w:r>
              <w:t xml:space="preserve">тел. / факс: +7(4162)773100</w:t>
            </w:r>
            <w:r/>
          </w:p>
          <w:p>
            <w:pPr>
              <w:pStyle w:val="690"/>
            </w:pPr>
            <w:r>
              <w:t xml:space="preserve">ИНН 2801190759 КПП 280101001</w:t>
            </w:r>
            <w:r/>
          </w:p>
          <w:p>
            <w:pPr>
              <w:pStyle w:val="690"/>
            </w:pPr>
            <w:r>
              <w:t xml:space="preserve">Реквизиты:</w:t>
            </w:r>
            <w:r/>
          </w:p>
          <w:p>
            <w:pPr>
              <w:pStyle w:val="690"/>
            </w:pPr>
            <w:r>
              <w:t xml:space="preserve">р/счет № 40702810903000006750</w:t>
            </w:r>
            <w:r/>
          </w:p>
          <w:p>
            <w:pPr>
              <w:pStyle w:val="690"/>
            </w:pPr>
            <w:r>
              <w:t xml:space="preserve">в банке ДАЛЬНЕВОСТОЧНЫЙ БАНК ПАО СБЕРБАНК</w:t>
            </w:r>
            <w:r/>
          </w:p>
          <w:p>
            <w:pPr>
              <w:pStyle w:val="690"/>
            </w:pPr>
            <w:r>
              <w:t xml:space="preserve">корр./счет № 30101810600000000608</w:t>
            </w:r>
            <w:r/>
          </w:p>
          <w:p>
            <w:pPr>
              <w:pStyle w:val="690"/>
            </w:pPr>
            <w:r>
              <w:t xml:space="preserve">БИК 040813608</w:t>
            </w:r>
            <w:r/>
          </w:p>
          <w:p>
            <w:pPr>
              <w:pStyle w:val="690"/>
              <w:jc w:val="both"/>
            </w:pPr>
            <w:r/>
            <w:r/>
          </w:p>
          <w:p>
            <w:pPr>
              <w:pStyle w:val="690"/>
              <w:jc w:val="both"/>
            </w:pPr>
            <w:r/>
            <w:r/>
          </w:p>
          <w:p>
            <w:pPr>
              <w:pStyle w:val="690"/>
              <w:jc w:val="both"/>
            </w:pPr>
            <w:r/>
            <w:r/>
          </w:p>
          <w:p>
            <w:pPr>
              <w:pStyle w:val="690"/>
              <w:jc w:val="both"/>
            </w:pPr>
            <w:r/>
            <w:r/>
          </w:p>
          <w:p>
            <w:pPr>
              <w:pStyle w:val="690"/>
              <w:jc w:val="both"/>
            </w:pPr>
            <w:r>
              <w:t xml:space="preserve">Директор</w:t>
            </w:r>
            <w:r/>
          </w:p>
          <w:p>
            <w:pPr>
              <w:pStyle w:val="690"/>
              <w:jc w:val="both"/>
            </w:pPr>
            <w:r/>
            <w:r/>
          </w:p>
          <w:p>
            <w:pPr>
              <w:pStyle w:val="690"/>
              <w:jc w:val="both"/>
            </w:pPr>
            <w:r/>
            <w:r/>
          </w:p>
          <w:p>
            <w:pPr>
              <w:pStyle w:val="690"/>
              <w:jc w:val="both"/>
            </w:pPr>
            <w:r/>
            <w:r/>
          </w:p>
          <w:p>
            <w:pPr>
              <w:pStyle w:val="690"/>
              <w:jc w:val="both"/>
            </w:pPr>
            <w:r>
              <w:t xml:space="preserve">__________________</w:t>
            </w:r>
            <w:r>
              <w:t xml:space="preserve"> </w:t>
            </w:r>
            <w:r>
              <w:t xml:space="preserve">  </w:t>
            </w:r>
            <w:r>
              <w:t xml:space="preserve">С.А. </w:t>
            </w:r>
            <w:r>
              <w:rPr>
                <w:bCs/>
              </w:rPr>
              <w:t xml:space="preserve">Федорченко</w:t>
            </w:r>
            <w:r/>
          </w:p>
          <w:p>
            <w:pPr>
              <w:pStyle w:val="690"/>
              <w:jc w:val="both"/>
            </w:pPr>
            <w:r>
              <w:t xml:space="preserve">(подпись)</w:t>
            </w:r>
            <w:r/>
          </w:p>
          <w:p>
            <w:pPr>
              <w:pStyle w:val="690"/>
              <w:jc w:val="both"/>
            </w:pPr>
            <w:r>
              <w:t xml:space="preserve">М.П.</w:t>
            </w:r>
            <w:r/>
          </w:p>
        </w:tc>
      </w:tr>
    </w:tbl>
    <w:p>
      <w:pPr>
        <w:pStyle w:val="700"/>
        <w:jc w:val="both"/>
        <w:tabs>
          <w:tab w:val="left" w:pos="14317" w:leader="none"/>
        </w:tabs>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1" o:title=""/>
              </v:shape>
            </w:pict>
          </mc:Fallback>
        </mc:AlternateContent>
      </w:r>
      <w:r>
        <w:rPr>
          <w:vanish/>
        </w:rPr>
      </w:r>
    </w:p>
    <w:sectPr>
      <w:footerReference w:type="default" r:id="rId9"/>
      <w:footerReference w:type="even" r:id="rId10"/>
      <w:footnotePr/>
      <w:endnotePr/>
      <w:type w:val="nextPage"/>
      <w:pgSz w:w="11907" w:h="16840" w:orient="portrait"/>
      <w:pgMar w:top="851" w:right="708" w:bottom="851" w:left="993" w:header="567" w:footer="510" w:gutter="0"/>
      <w:pgNumType w:start="1"/>
      <w:cols w:num="1" w:sep="0" w:space="720" w:equalWidth="1"/>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 w:author="Карина Геворгиевна" w:date="2026-10-06T11:29:30Z" w:initials="КГ">
    <w:p w14:paraId="00000001" w14:textId="00000001">
      <w:pPr>
        <w:spacing w:line="240" w:after="0" w:lineRule="auto" w:before="0"/>
        <w:ind w:firstLine="0" w:left="0" w:right="0"/>
        <w:jc w:val="left"/>
      </w:pPr>
      <w:r>
        <w:rPr>
          <w:rFonts w:eastAsia="Arial" w:ascii="Arial" w:hAnsi="Arial" w:cs="Arial"/>
          <w:sz w:val="22"/>
        </w:rPr>
        <w:t xml:space="preserve">7.	Разрешение споров</w:t>
      </w:r>
    </w:p>
    <w:p w14:paraId="00000002" w14:textId="00000002">
      <w:pPr>
        <w:spacing w:line="240" w:after="0" w:lineRule="auto" w:before="0"/>
        <w:ind w:firstLine="0" w:left="0" w:right="0"/>
        <w:jc w:val="left"/>
      </w:pPr>
      <w:r>
        <w:rPr>
          <w:rFonts w:eastAsia="Arial" w:ascii="Arial" w:hAnsi="Arial" w:cs="Arial"/>
          <w:sz w:val="22"/>
        </w:rPr>
        <w:t xml:space="preserve">7.1. Разрешение спорных вопросов, возникающих в ходе исполнения настоящего Договора, производится путём проведения переговоров, с обязательным оформлением протокола, либо направлением Сторонами письменных претензий. Досудебный порядок рассмотрения споров обязателен. </w:t>
      </w:r>
    </w:p>
    <w:p w14:paraId="00000003" w14:textId="00000003">
      <w:pPr>
        <w:spacing w:line="240" w:after="0" w:lineRule="auto" w:before="0"/>
        <w:ind w:firstLine="0" w:left="0" w:right="0"/>
        <w:jc w:val="left"/>
      </w:pPr>
      <w:r>
        <w:rPr>
          <w:rFonts w:eastAsia="Arial" w:ascii="Arial" w:hAnsi="Arial" w:cs="Arial"/>
          <w:sz w:val="22"/>
        </w:rPr>
        <w:t xml:space="preserve">7.2. Срок рассмотрения Сторонами письменной претензии составляет 5 (пять) календарных дней со дня её получения. </w:t>
      </w:r>
    </w:p>
    <w:p w14:paraId="00000004" w14:textId="00000004">
      <w:pPr>
        <w:spacing w:line="240" w:after="0" w:lineRule="auto" w:before="0"/>
        <w:ind w:firstLine="0" w:left="0" w:right="0"/>
        <w:jc w:val="left"/>
      </w:pPr>
      <w:r>
        <w:rPr>
          <w:rFonts w:eastAsia="Arial" w:ascii="Arial" w:hAnsi="Arial" w:cs="Arial"/>
          <w:sz w:val="22"/>
        </w:rPr>
        <w:t xml:space="preserve">7.3. В случае невозможности урегулирования споров и разногласий путем переговоров, Стороны передают их на рассмотрение в суд по месту нахождения Заказчика.</w:t>
      </w:r>
    </w:p>
    <w:p w14:paraId="00000005" w14:textId="00000005">
      <w:pPr>
        <w:spacing w:line="240" w:after="0" w:lineRule="auto" w:before="0"/>
        <w:ind w:firstLine="0" w:left="0" w:right="0"/>
        <w:jc w:val="left"/>
      </w:pPr>
      <w:r>
        <w:rPr>
          <w:rFonts w:eastAsia="Arial" w:ascii="Arial" w:hAnsi="Arial" w:cs="Arial"/>
          <w:sz w:val="22"/>
        </w:rPr>
        <w:t xml:space="preserve"/>
      </w:r>
    </w:p>
    <w:p w14:paraId="00000006" w14:textId="00000006">
      <w:pPr>
        <w:spacing w:line="240" w:after="0" w:lineRule="auto" w:before="0"/>
        <w:ind w:firstLine="0" w:left="0" w:right="0"/>
        <w:jc w:val="left"/>
      </w:pPr>
      <w:r>
        <w:rPr>
          <w:rFonts w:eastAsia="Arial" w:ascii="Arial" w:hAnsi="Arial" w:cs="Arial"/>
          <w:sz w:val="22"/>
        </w:rPr>
        <w:t xml:space="preserve"/>
      </w:r>
    </w:p>
    <w:p w14:paraId="00000007" w14:textId="00000007">
      <w:pPr>
        <w:spacing w:line="240" w:after="0" w:lineRule="auto" w:before="0"/>
        <w:ind w:firstLine="0" w:left="0" w:right="0"/>
        <w:jc w:val="left"/>
      </w:pPr>
      <w:r>
        <w:rPr>
          <w:rFonts w:eastAsia="Arial" w:ascii="Arial" w:hAnsi="Arial" w:cs="Arial"/>
          <w:sz w:val="22"/>
        </w:rPr>
        <w:t xml:space="preserve">8. Антикоррупционная оговорка</w:t>
      </w:r>
    </w:p>
    <w:p w14:paraId="00000008" w14:textId="00000008">
      <w:pPr>
        <w:spacing w:line="240" w:after="0" w:lineRule="auto" w:before="0"/>
        <w:ind w:firstLine="0" w:left="0" w:right="0"/>
        <w:jc w:val="left"/>
      </w:pPr>
      <w:r>
        <w:rPr>
          <w:rFonts w:eastAsia="Arial" w:ascii="Arial" w:hAnsi="Arial" w:cs="Arial"/>
          <w:sz w:val="22"/>
        </w:rPr>
        <w:t xml:space="preserve">8.1.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00000009" w14:textId="00000009">
      <w:pPr>
        <w:spacing w:line="240" w:after="0" w:lineRule="auto" w:before="0"/>
        <w:ind w:firstLine="0" w:left="0" w:right="0"/>
        <w:jc w:val="left"/>
      </w:pPr>
      <w:r>
        <w:rPr>
          <w:rFonts w:eastAsia="Arial" w:ascii="Arial" w:hAnsi="Arial" w:cs="Arial"/>
          <w:sz w:val="22"/>
        </w:rPr>
        <w:t xml:space="preserve">8.2.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000000A" w14:textId="0000000A">
      <w:pPr>
        <w:spacing w:line="240" w:after="0" w:lineRule="auto" w:before="0"/>
        <w:ind w:firstLine="0" w:left="0" w:right="0"/>
        <w:jc w:val="left"/>
      </w:pPr>
      <w:r>
        <w:rPr>
          <w:rFonts w:eastAsia="Arial" w:ascii="Arial" w:hAnsi="Arial" w:cs="Arial"/>
          <w:sz w:val="22"/>
        </w:rPr>
        <w:t xml:space="preserve">8.3.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0000000B" w14:textId="0000000B">
      <w:pPr>
        <w:spacing w:line="240" w:after="0" w:lineRule="auto" w:before="0"/>
        <w:ind w:firstLine="0" w:left="0" w:right="0"/>
        <w:jc w:val="left"/>
      </w:pPr>
      <w:r>
        <w:rPr>
          <w:rFonts w:eastAsia="Arial" w:ascii="Arial" w:hAnsi="Arial" w:cs="Arial"/>
          <w:sz w:val="22"/>
        </w:rPr>
        <w:t xml:space="preserve">8.4.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comment>
  <w:comment w:id="4" w:author="Карина Геворгиевна" w:date="2026-10-06T11:17:51Z" w:initials="КГ">
    <w:p w14:paraId="0000000C" w14:textId="0000000C">
      <w:pPr>
        <w:spacing w:line="240" w:after="0" w:lineRule="auto" w:before="0"/>
        <w:ind w:firstLine="0" w:left="0" w:right="0"/>
        <w:jc w:val="left"/>
      </w:pPr>
      <w:r>
        <w:rPr>
          <w:rFonts w:eastAsia="Arial" w:ascii="Arial" w:hAnsi="Arial" w:cs="Arial"/>
          <w:sz w:val="22"/>
        </w:rPr>
        <w:t xml:space="preserve">к примеру, путем направления уведомления о расторжении Договора</w:t>
      </w:r>
    </w:p>
  </w:comment>
  <w:comment w:id="3" w:author="Карина Геворгиевна" w:date="2026-10-06T11:12:57Z" w:initials="КГ">
    <w:p w14:paraId="0000000D" w14:textId="0000000D">
      <w:pPr>
        <w:spacing w:line="240" w:after="0" w:lineRule="auto" w:before="0"/>
        <w:ind w:firstLine="0" w:left="0" w:right="0"/>
        <w:jc w:val="left"/>
      </w:pPr>
      <w:r>
        <w:rPr>
          <w:rFonts w:eastAsia="Arial" w:ascii="Arial" w:hAnsi="Arial" w:cs="Arial"/>
          <w:sz w:val="22"/>
        </w:rPr>
        <w:t xml:space="preserve">Пожар (в том числе от удара молнии или взрыва газа).</w:t>
      </w:r>
    </w:p>
    <w:p w14:paraId="0000000E" w14:textId="0000000E">
      <w:pPr>
        <w:spacing w:line="240" w:after="0" w:lineRule="auto" w:before="0"/>
        <w:ind w:firstLine="0" w:left="0" w:right="0"/>
        <w:jc w:val="left"/>
      </w:pPr>
      <w:r>
        <w:rPr>
          <w:rFonts w:eastAsia="Arial" w:ascii="Arial" w:hAnsi="Arial" w:cs="Arial"/>
          <w:sz w:val="22"/>
        </w:rPr>
        <w:t xml:space="preserve">Затопление (авария инженерных систем: протечка труб, прорыв отопления).</w:t>
      </w:r>
    </w:p>
    <w:p w14:paraId="0000000F" w14:textId="0000000F">
      <w:pPr>
        <w:spacing w:line="240" w:after="0" w:lineRule="auto" w:before="0"/>
        <w:ind w:firstLine="0" w:left="0" w:right="0"/>
        <w:jc w:val="left"/>
      </w:pPr>
      <w:r>
        <w:rPr>
          <w:rFonts w:eastAsia="Arial" w:ascii="Arial" w:hAnsi="Arial" w:cs="Arial"/>
          <w:sz w:val="22"/>
        </w:rPr>
        <w:t xml:space="preserve">Стихийные бедствия (землетрясение, ураган, наводнение, град).</w:t>
      </w:r>
    </w:p>
    <w:p w14:paraId="00000010" w14:textId="00000010">
      <w:pPr>
        <w:spacing w:line="240" w:after="0" w:lineRule="auto" w:before="0"/>
        <w:ind w:firstLine="0" w:left="0" w:right="0"/>
        <w:jc w:val="left"/>
      </w:pPr>
      <w:r>
        <w:rPr>
          <w:rFonts w:eastAsia="Arial" w:ascii="Arial" w:hAnsi="Arial" w:cs="Arial"/>
          <w:sz w:val="22"/>
        </w:rPr>
        <w:t xml:space="preserve">Противоправные действия третьих лиц (кража, вандализм, хулиганство, умышленное повреждение или уничтожение имущества).</w:t>
      </w:r>
    </w:p>
    <w:p w14:paraId="00000011" w14:textId="00000011">
      <w:pPr>
        <w:spacing w:line="240" w:after="0" w:lineRule="auto" w:before="0"/>
        <w:ind w:firstLine="0" w:left="0" w:right="0"/>
        <w:jc w:val="left"/>
      </w:pPr>
      <w:r>
        <w:rPr>
          <w:rFonts w:eastAsia="Arial" w:ascii="Arial" w:hAnsi="Arial" w:cs="Arial"/>
          <w:sz w:val="22"/>
        </w:rPr>
        <w:t xml:space="preserve">Падение предметов (дерева, опоры ЛЭП, рекламного щита, летательного аппарата).</w:t>
      </w:r>
    </w:p>
    <w:p w14:paraId="00000012" w14:textId="00000012">
      <w:pPr>
        <w:spacing w:line="240" w:after="0" w:lineRule="auto" w:before="0"/>
        <w:ind w:firstLine="0" w:left="0" w:right="0"/>
        <w:jc w:val="left"/>
      </w:pPr>
      <w:r>
        <w:rPr>
          <w:rFonts w:eastAsia="Arial" w:ascii="Arial" w:hAnsi="Arial" w:cs="Arial"/>
          <w:sz w:val="22"/>
        </w:rPr>
        <w:t xml:space="preserve">Авария инженерных систем.</w:t>
      </w:r>
    </w:p>
    <w:p w14:paraId="00000013" w14:textId="00000013">
      <w:pPr>
        <w:spacing w:line="240" w:after="0" w:lineRule="auto" w:before="0"/>
        <w:ind w:firstLine="0" w:left="0" w:right="0"/>
        <w:jc w:val="left"/>
      </w:pPr>
      <w:r>
        <w:rPr>
          <w:rFonts w:eastAsia="Arial" w:ascii="Arial" w:hAnsi="Arial" w:cs="Arial"/>
          <w:sz w:val="22"/>
        </w:rPr>
        <w:t xml:space="preserve">Конструктивные дефекты (непредвиденное разрушение из-за ошибок при строительстве).</w:t>
      </w:r>
    </w:p>
    <w:p w14:paraId="00000014" w14:textId="00000014">
      <w:pPr>
        <w:spacing w:line="240" w:after="0" w:lineRule="auto" w:before="0"/>
        <w:ind w:firstLine="0" w:left="0" w:right="0"/>
        <w:jc w:val="left"/>
      </w:pPr>
      <w:r>
        <w:rPr>
          <w:rFonts w:eastAsia="Arial" w:ascii="Arial" w:hAnsi="Arial" w:cs="Arial"/>
          <w:sz w:val="22"/>
        </w:rPr>
        <w:t xml:space="preserve">Часто территория задаётся не только адресом, но и, например, радиусом вокруг объекта (к примеру, 30 метров от забора)</w:t>
      </w:r>
    </w:p>
  </w:comment>
  <w:comment w:id="2" w:author="Карина Геворгиевна" w:date="2026-10-06T11:03:23Z" w:initials="КГ">
    <w:p w14:paraId="00000015" w14:textId="00000015">
      <w:pPr>
        <w:spacing w:line="240" w:after="0" w:lineRule="auto" w:before="0"/>
        <w:ind w:firstLine="0" w:left="0" w:right="0"/>
        <w:jc w:val="left"/>
      </w:pPr>
      <w:r>
        <w:rPr>
          <w:rFonts w:eastAsia="Arial" w:ascii="Arial" w:hAnsi="Arial" w:cs="Arial"/>
          <w:sz w:val="22"/>
        </w:rPr>
        <w:t xml:space="preserve">Когда стороны пишут, что страховая стоимость имущества на момент заключения договора не определяется, они фактически отказываются от фиксации конкретной цифры в тексте договора. п. 2 ст. 947 ГК РФ страховая сумма не должна превышать действительную (страховую) стоимость имущества. само по себе такое условие в договоре не делает его недействительным. Чтобы избежать споров, советуем прописать, как именно будет определяться стоимость в будущем (например, через экспертизу при страховом случае).</w:t>
      </w:r>
    </w:p>
  </w:comment>
  <w:comment w:id="0" w:author="Карина Геворгиевна" w:date="2026-10-06T10:58:08Z" w:initials="КГ">
    <w:p w14:paraId="00000016" w14:textId="00000016">
      <w:pPr>
        <w:spacing w:line="240" w:after="0" w:lineRule="auto" w:before="0"/>
        <w:ind w:firstLine="0" w:left="0" w:right="0"/>
        <w:jc w:val="left"/>
      </w:pPr>
      <w:r>
        <w:rPr>
          <w:rFonts w:eastAsia="Arial" w:ascii="Arial" w:hAnsi="Arial" w:cs="Arial"/>
          <w:sz w:val="22"/>
        </w:rPr>
        <w:t xml:space="preserve">указанному в п. 2.10 Договора</w:t>
      </w:r>
    </w:p>
  </w:comment>
  <w:comment w:id="1" w:author="Карина Геворгиевна" w:date="2026-10-06T10:57:36Z" w:initials="КГ">
    <w:p w14:paraId="00000017" w14:textId="00000017">
      <w:pPr>
        <w:spacing w:line="240" w:after="0" w:lineRule="auto" w:before="0"/>
        <w:ind w:firstLine="0" w:left="0" w:right="0"/>
        <w:jc w:val="left"/>
      </w:pPr>
      <w:r>
        <w:rPr>
          <w:rFonts w:eastAsia="Arial" w:ascii="Arial" w:hAnsi="Arial" w:cs="Arial"/>
          <w:sz w:val="22"/>
        </w:rPr>
        <w:t xml:space="preserve">Объект страхования, указывается максимально побробно. Конструктивные элементы (стены, перекрытия), внутренняя отделка, инженерные системы, возможно движимое имущество (техника)</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B" w15:done="0"/>
  <w15:commentEx w15:paraId="0000000C" w15:done="0"/>
  <w15:commentEx w15:paraId="00000014" w15:done="0"/>
  <w15:commentEx w15:paraId="00000015" w15:done="0"/>
  <w15:commentEx w15:paraId="00000016" w15:done="0"/>
  <w15:commentEx w15:paraId="000000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ED40878" w16cex:dateUtc="2026-10-06T06:29:30Z"/>
  <w16cex:commentExtensible w16cex:durableId="06EFD637" w16cex:dateUtc="2026-10-06T06:17:51Z"/>
  <w16cex:commentExtensible w16cex:durableId="61CCB6E4" w16cex:dateUtc="2026-10-06T06:12:57Z"/>
  <w16cex:commentExtensible w16cex:durableId="3FD8491A" w16cex:dateUtc="2026-10-06T06:03:23Z"/>
  <w16cex:commentExtensible w16cex:durableId="420FB162" w16cex:dateUtc="2026-10-06T05:58:08Z"/>
  <w16cex:commentExtensible w16cex:durableId="6EA4B41E" w16cex:dateUtc="2026-10-06T05:57:36Z"/>
</w16cex:commentsExtensible>
</file>

<file path=word/commentsIds.xml><?xml version="1.0" encoding="utf-8"?>
<w16cid:commentsIds xmlns:mc="http://schemas.openxmlformats.org/markup-compatibility/2006" xmlns:w16cid="http://schemas.microsoft.com/office/word/2016/wordml/cid" mc:Ignorable="w16cid">
  <w16cid:commentId w16cid:paraId="0000000B" w16cid:durableId="2ED40878"/>
  <w16cid:commentId w16cid:paraId="0000000C" w16cid:durableId="06EFD637"/>
  <w16cid:commentId w16cid:paraId="00000014" w16cid:durableId="61CCB6E4"/>
  <w16cid:commentId w16cid:paraId="00000015" w16cid:durableId="3FD8491A"/>
  <w16cid:commentId w16cid:paraId="00000016" w16cid:durableId="420FB162"/>
  <w16cid:commentId w16cid:paraId="00000017" w16cid:durableId="6EA4B41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ourier New">
    <w:panose1 w:val="02070309020205020404"/>
  </w:font>
  <w:font w:name="Tahoma">
    <w:panose1 w:val="020B0604030504040204"/>
  </w:font>
  <w:font w:name="Journal">
    <w:panose1 w:val="020B0809030403020204"/>
  </w:font>
  <w:font w:name="Times New Roman">
    <w:panose1 w:val="02020603050405020304"/>
  </w:font>
  <w:font w:name="Verdana">
    <w:panose1 w:val="020B0604030504040204"/>
  </w:font>
  <w:font w:name="Garamond">
    <w:panose1 w:val="02020603050405020304"/>
  </w:font>
  <w:font w:name="Arial Unicode MS">
    <w:panose1 w:val="020B0604020202020204"/>
  </w:font>
  <w:font w:name="Arial">
    <w:panose1 w:val="020B0604020202020204"/>
  </w:font>
  <w:font w:name="Wingdings">
    <w:panose1 w:val="05010000000000000000"/>
  </w:font>
  <w:font w:name="Liberation Sans">
    <w:panose1 w:val="020B0604020202020204"/>
  </w:font>
  <w:font w:name="Calibri">
    <w:panose1 w:val="020F0502020204030204"/>
  </w:font>
  <w:font w:name="Cambria">
    <w:panose1 w:val="020408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09"/>
        <w:sz w:val="18"/>
      </w:rPr>
      <w:framePr w:wrap="around" w:vAnchor="text" w:hAnchor="margin" w:xAlign="right" w:y="1"/>
    </w:pPr>
    <w:r>
      <w:rPr>
        <w:rStyle w:val="709"/>
        <w:sz w:val="18"/>
      </w:rPr>
      <w:fldChar w:fldCharType="begin"/>
    </w:r>
    <w:r>
      <w:rPr>
        <w:rStyle w:val="709"/>
        <w:sz w:val="18"/>
      </w:rPr>
      <w:instrText xml:space="preserve">PAGE  </w:instrText>
    </w:r>
    <w:r>
      <w:rPr>
        <w:rStyle w:val="709"/>
        <w:sz w:val="18"/>
      </w:rPr>
      <w:fldChar w:fldCharType="separate"/>
    </w:r>
    <w:r>
      <w:rPr>
        <w:rStyle w:val="709"/>
        <w:sz w:val="18"/>
      </w:rPr>
      <w:t xml:space="preserve">1</w:t>
    </w:r>
    <w:r>
      <w:rPr>
        <w:rStyle w:val="709"/>
        <w:sz w:val="18"/>
      </w:rPr>
      <w:fldChar w:fldCharType="end"/>
    </w:r>
    <w:r>
      <w:rPr>
        <w:rStyle w:val="709"/>
        <w:sz w:val="18"/>
      </w:rPr>
    </w:r>
    <w:r>
      <w:rPr>
        <w:rStyle w:val="709"/>
        <w:sz w:val="18"/>
      </w:rPr>
    </w:r>
  </w:p>
  <w:p>
    <w:pPr>
      <w:pStyle w:val="720"/>
      <w:ind w:right="360" w:firstLine="360"/>
      <w:rPr>
        <w:color w:val="a6a6a6"/>
        <w:sz w:val="16"/>
        <w:szCs w:val="16"/>
      </w:rPr>
    </w:pPr>
    <w:r>
      <w:rPr>
        <w:color w:val="a6a6a6"/>
        <w:sz w:val="16"/>
        <w:szCs w:val="16"/>
      </w:rPr>
    </w:r>
    <w:r>
      <w:rPr>
        <w:color w:val="a6a6a6"/>
        <w:sz w:val="16"/>
        <w:szCs w:val="16"/>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09"/>
      </w:rPr>
      <w:framePr w:wrap="around" w:vAnchor="text" w:hAnchor="margin" w:xAlign="right" w:y="1"/>
    </w:pPr>
    <w:r>
      <w:rPr>
        <w:rStyle w:val="709"/>
      </w:rPr>
      <w:fldChar w:fldCharType="begin"/>
    </w:r>
    <w:r>
      <w:rPr>
        <w:rStyle w:val="709"/>
      </w:rPr>
      <w:instrText xml:space="preserve">PAGE  </w:instrText>
    </w:r>
    <w:r>
      <w:rPr>
        <w:rStyle w:val="709"/>
      </w:rPr>
      <w:fldChar w:fldCharType="end"/>
    </w:r>
    <w:r>
      <w:rPr>
        <w:rStyle w:val="709"/>
      </w:rPr>
    </w:r>
    <w:r>
      <w:rPr>
        <w:rStyle w:val="709"/>
      </w:rPr>
    </w:r>
  </w:p>
  <w:p>
    <w:pPr>
      <w:pStyle w:val="720"/>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0"/>
      <w:numFmt w:val="decimal"/>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1069" w:hanging="360"/>
        <w:tabs>
          <w:tab w:val="num" w:pos="0" w:leader="none"/>
        </w:tabs>
      </w:pPr>
    </w:lvl>
    <w:lvl w:ilvl="2">
      <w:start w:val="1"/>
      <w:numFmt w:val="decimal"/>
      <w:isLgl w:val="false"/>
      <w:suff w:val="tab"/>
      <w:lvlText w:val="%1.%2.%3."/>
      <w:lvlJc w:val="left"/>
      <w:pPr>
        <w:ind w:left="2138" w:hanging="720"/>
        <w:tabs>
          <w:tab w:val="num" w:pos="0" w:leader="none"/>
        </w:tabs>
      </w:pPr>
    </w:lvl>
    <w:lvl w:ilvl="3">
      <w:start w:val="1"/>
      <w:numFmt w:val="decimal"/>
      <w:isLgl w:val="false"/>
      <w:suff w:val="tab"/>
      <w:lvlText w:val="%1.%2.%3.%4."/>
      <w:lvlJc w:val="left"/>
      <w:pPr>
        <w:ind w:left="2847" w:hanging="720"/>
        <w:tabs>
          <w:tab w:val="num" w:pos="0" w:leader="none"/>
        </w:tabs>
      </w:pPr>
    </w:lvl>
    <w:lvl w:ilvl="4">
      <w:start w:val="1"/>
      <w:numFmt w:val="decimal"/>
      <w:isLgl w:val="false"/>
      <w:suff w:val="tab"/>
      <w:lvlText w:val="%1.%2.%3.%4.%5."/>
      <w:lvlJc w:val="left"/>
      <w:pPr>
        <w:ind w:left="3556" w:hanging="720"/>
        <w:tabs>
          <w:tab w:val="num" w:pos="0" w:leader="none"/>
        </w:tabs>
      </w:pPr>
    </w:lvl>
    <w:lvl w:ilvl="5">
      <w:start w:val="1"/>
      <w:numFmt w:val="decimal"/>
      <w:isLgl w:val="false"/>
      <w:suff w:val="tab"/>
      <w:lvlText w:val="%1.%2.%3.%4.%5.%6."/>
      <w:lvlJc w:val="left"/>
      <w:pPr>
        <w:ind w:left="4625" w:hanging="1080"/>
        <w:tabs>
          <w:tab w:val="num" w:pos="0" w:leader="none"/>
        </w:tabs>
      </w:pPr>
    </w:lvl>
    <w:lvl w:ilvl="6">
      <w:start w:val="1"/>
      <w:numFmt w:val="decimal"/>
      <w:isLgl w:val="false"/>
      <w:suff w:val="tab"/>
      <w:lvlText w:val="%1.%2.%3.%4.%5.%6.%7."/>
      <w:lvlJc w:val="left"/>
      <w:pPr>
        <w:ind w:left="5334" w:hanging="1080"/>
        <w:tabs>
          <w:tab w:val="num" w:pos="0" w:leader="none"/>
        </w:tabs>
      </w:pPr>
    </w:lvl>
    <w:lvl w:ilvl="7">
      <w:start w:val="1"/>
      <w:numFmt w:val="decimal"/>
      <w:isLgl w:val="false"/>
      <w:suff w:val="tab"/>
      <w:lvlText w:val="%1.%2.%3.%4.%5.%6.%7.%8."/>
      <w:lvlJc w:val="left"/>
      <w:pPr>
        <w:ind w:left="6043" w:hanging="1080"/>
        <w:tabs>
          <w:tab w:val="num" w:pos="0" w:leader="none"/>
        </w:tabs>
      </w:pPr>
    </w:lvl>
    <w:lvl w:ilvl="8">
      <w:start w:val="1"/>
      <w:numFmt w:val="decimal"/>
      <w:isLgl w:val="false"/>
      <w:suff w:val="tab"/>
      <w:lvlText w:val="%1.%2.%3.%4.%5.%6.%7.%8.%9."/>
      <w:lvlJc w:val="left"/>
      <w:pPr>
        <w:ind w:left="7112" w:hanging="1440"/>
        <w:tabs>
          <w:tab w:val="num" w:pos="0" w:leader="none"/>
        </w:tabs>
      </w:pPr>
    </w:lvl>
  </w:abstractNum>
  <w:abstractNum w:abstractNumId="2">
    <w:multiLevelType w:val="hybridMultilevel"/>
    <w:lvl w:ilvl="0">
      <w:start w:val="1"/>
      <w:numFmt w:val="bullet"/>
      <w:isLgl w:val="false"/>
      <w:suff w:val="tab"/>
      <w:lvlText w:val=""/>
      <w:lvlJc w:val="left"/>
      <w:pPr>
        <w:ind w:left="1440" w:hanging="360"/>
        <w:tabs>
          <w:tab w:val="num" w:pos="1440" w:leader="none"/>
        </w:tabs>
      </w:pPr>
      <w:rPr>
        <w:rFonts w:ascii="Symbol" w:hAnsi="Symbol"/>
      </w:rPr>
    </w:lvl>
    <w:lvl w:ilvl="1">
      <w:start w:val="1"/>
      <w:numFmt w:val="bullet"/>
      <w:isLgl w:val="false"/>
      <w:suff w:val="tab"/>
      <w:lvlText w:val="o"/>
      <w:lvlJc w:val="left"/>
      <w:pPr>
        <w:ind w:left="2160" w:hanging="360"/>
        <w:tabs>
          <w:tab w:val="num" w:pos="2160" w:leader="none"/>
        </w:tabs>
      </w:pPr>
      <w:rPr>
        <w:rFonts w:ascii="Courier New" w:hAnsi="Courier New" w:cs="Courier New"/>
      </w:rPr>
    </w:lvl>
    <w:lvl w:ilvl="2">
      <w:start w:val="1"/>
      <w:numFmt w:val="bullet"/>
      <w:isLgl w:val="false"/>
      <w:suff w:val="tab"/>
      <w:lvlText w:val=""/>
      <w:lvlJc w:val="left"/>
      <w:pPr>
        <w:ind w:left="2880" w:hanging="360"/>
        <w:tabs>
          <w:tab w:val="num" w:pos="2880" w:leader="none"/>
        </w:tabs>
      </w:pPr>
      <w:rPr>
        <w:rFonts w:ascii="Wingdings" w:hAnsi="Wingdings"/>
      </w:rPr>
    </w:lvl>
    <w:lvl w:ilvl="3">
      <w:start w:val="1"/>
      <w:numFmt w:val="bullet"/>
      <w:isLgl w:val="false"/>
      <w:suff w:val="tab"/>
      <w:lvlText w:val=""/>
      <w:lvlJc w:val="left"/>
      <w:pPr>
        <w:ind w:left="3600" w:hanging="360"/>
        <w:tabs>
          <w:tab w:val="num" w:pos="3600" w:leader="none"/>
        </w:tabs>
      </w:pPr>
      <w:rPr>
        <w:rFonts w:ascii="Symbol" w:hAnsi="Symbol"/>
      </w:rPr>
    </w:lvl>
    <w:lvl w:ilvl="4">
      <w:start w:val="1"/>
      <w:numFmt w:val="bullet"/>
      <w:isLgl w:val="false"/>
      <w:suff w:val="tab"/>
      <w:lvlText w:val="o"/>
      <w:lvlJc w:val="left"/>
      <w:pPr>
        <w:ind w:left="4320" w:hanging="360"/>
        <w:tabs>
          <w:tab w:val="num" w:pos="4320" w:leader="none"/>
        </w:tabs>
      </w:pPr>
      <w:rPr>
        <w:rFonts w:ascii="Courier New" w:hAnsi="Courier New" w:cs="Courier New"/>
      </w:rPr>
    </w:lvl>
    <w:lvl w:ilvl="5">
      <w:start w:val="1"/>
      <w:numFmt w:val="bullet"/>
      <w:isLgl w:val="false"/>
      <w:suff w:val="tab"/>
      <w:lvlText w:val=""/>
      <w:lvlJc w:val="left"/>
      <w:pPr>
        <w:ind w:left="5040" w:hanging="360"/>
        <w:tabs>
          <w:tab w:val="num" w:pos="5040" w:leader="none"/>
        </w:tabs>
      </w:pPr>
      <w:rPr>
        <w:rFonts w:ascii="Wingdings" w:hAnsi="Wingdings"/>
      </w:rPr>
    </w:lvl>
    <w:lvl w:ilvl="6">
      <w:start w:val="1"/>
      <w:numFmt w:val="bullet"/>
      <w:isLgl w:val="false"/>
      <w:suff w:val="tab"/>
      <w:lvlText w:val=""/>
      <w:lvlJc w:val="left"/>
      <w:pPr>
        <w:ind w:left="5760" w:hanging="360"/>
        <w:tabs>
          <w:tab w:val="num" w:pos="5760" w:leader="none"/>
        </w:tabs>
      </w:pPr>
      <w:rPr>
        <w:rFonts w:ascii="Symbol" w:hAnsi="Symbol"/>
      </w:rPr>
    </w:lvl>
    <w:lvl w:ilvl="7">
      <w:start w:val="1"/>
      <w:numFmt w:val="bullet"/>
      <w:isLgl w:val="false"/>
      <w:suff w:val="tab"/>
      <w:lvlText w:val="o"/>
      <w:lvlJc w:val="left"/>
      <w:pPr>
        <w:ind w:left="6480" w:hanging="360"/>
        <w:tabs>
          <w:tab w:val="num" w:pos="6480" w:leader="none"/>
        </w:tabs>
      </w:pPr>
      <w:rPr>
        <w:rFonts w:ascii="Courier New" w:hAnsi="Courier New" w:cs="Courier New"/>
      </w:rPr>
    </w:lvl>
    <w:lvl w:ilvl="8">
      <w:start w:val="1"/>
      <w:numFmt w:val="bullet"/>
      <w:isLgl w:val="false"/>
      <w:suff w:val="tab"/>
      <w:lvlText w:val=""/>
      <w:lvlJc w:val="left"/>
      <w:pPr>
        <w:ind w:left="7200" w:hanging="360"/>
        <w:tabs>
          <w:tab w:val="num" w:pos="7200" w:leader="none"/>
        </w:tabs>
      </w:pPr>
      <w:rPr>
        <w:rFonts w:ascii="Wingdings" w:hAnsi="Wingdings"/>
      </w:rPr>
    </w:lvl>
  </w:abstractNum>
  <w:abstractNum w:abstractNumId="3">
    <w:multiLevelType w:val="hybridMultilevel"/>
    <w:lvl w:ilvl="0">
      <w:start w:val="1"/>
      <w:numFmt w:val="bullet"/>
      <w:isLgl w:val="false"/>
      <w:suff w:val="tab"/>
      <w:lvlText w:val=""/>
      <w:lvlJc w:val="left"/>
      <w:pPr>
        <w:ind w:left="1440" w:hanging="360"/>
        <w:tabs>
          <w:tab w:val="num" w:pos="1440" w:leader="none"/>
        </w:tabs>
      </w:pPr>
      <w:rPr>
        <w:rFonts w:ascii="Symbol" w:hAnsi="Symbol"/>
      </w:rPr>
    </w:lvl>
    <w:lvl w:ilvl="1">
      <w:start w:val="1"/>
      <w:numFmt w:val="bullet"/>
      <w:isLgl w:val="false"/>
      <w:suff w:val="tab"/>
      <w:lvlText w:val="o"/>
      <w:lvlJc w:val="left"/>
      <w:pPr>
        <w:ind w:left="2160" w:hanging="360"/>
        <w:tabs>
          <w:tab w:val="num" w:pos="2160" w:leader="none"/>
        </w:tabs>
      </w:pPr>
      <w:rPr>
        <w:rFonts w:ascii="Courier New" w:hAnsi="Courier New" w:cs="Courier New"/>
      </w:rPr>
    </w:lvl>
    <w:lvl w:ilvl="2">
      <w:start w:val="1"/>
      <w:numFmt w:val="bullet"/>
      <w:isLgl w:val="false"/>
      <w:suff w:val="tab"/>
      <w:lvlText w:val=""/>
      <w:lvlJc w:val="left"/>
      <w:pPr>
        <w:ind w:left="2880" w:hanging="360"/>
        <w:tabs>
          <w:tab w:val="num" w:pos="2880" w:leader="none"/>
        </w:tabs>
      </w:pPr>
      <w:rPr>
        <w:rFonts w:ascii="Wingdings" w:hAnsi="Wingdings"/>
      </w:rPr>
    </w:lvl>
    <w:lvl w:ilvl="3">
      <w:start w:val="1"/>
      <w:numFmt w:val="bullet"/>
      <w:isLgl w:val="false"/>
      <w:suff w:val="tab"/>
      <w:lvlText w:val=""/>
      <w:lvlJc w:val="left"/>
      <w:pPr>
        <w:ind w:left="3600" w:hanging="360"/>
        <w:tabs>
          <w:tab w:val="num" w:pos="3600" w:leader="none"/>
        </w:tabs>
      </w:pPr>
      <w:rPr>
        <w:rFonts w:ascii="Symbol" w:hAnsi="Symbol"/>
      </w:rPr>
    </w:lvl>
    <w:lvl w:ilvl="4">
      <w:start w:val="1"/>
      <w:numFmt w:val="bullet"/>
      <w:isLgl w:val="false"/>
      <w:suff w:val="tab"/>
      <w:lvlText w:val="o"/>
      <w:lvlJc w:val="left"/>
      <w:pPr>
        <w:ind w:left="4320" w:hanging="360"/>
        <w:tabs>
          <w:tab w:val="num" w:pos="4320" w:leader="none"/>
        </w:tabs>
      </w:pPr>
      <w:rPr>
        <w:rFonts w:ascii="Courier New" w:hAnsi="Courier New" w:cs="Courier New"/>
      </w:rPr>
    </w:lvl>
    <w:lvl w:ilvl="5">
      <w:start w:val="1"/>
      <w:numFmt w:val="bullet"/>
      <w:isLgl w:val="false"/>
      <w:suff w:val="tab"/>
      <w:lvlText w:val=""/>
      <w:lvlJc w:val="left"/>
      <w:pPr>
        <w:ind w:left="5040" w:hanging="360"/>
        <w:tabs>
          <w:tab w:val="num" w:pos="5040" w:leader="none"/>
        </w:tabs>
      </w:pPr>
      <w:rPr>
        <w:rFonts w:ascii="Wingdings" w:hAnsi="Wingdings"/>
      </w:rPr>
    </w:lvl>
    <w:lvl w:ilvl="6">
      <w:start w:val="1"/>
      <w:numFmt w:val="bullet"/>
      <w:isLgl w:val="false"/>
      <w:suff w:val="tab"/>
      <w:lvlText w:val=""/>
      <w:lvlJc w:val="left"/>
      <w:pPr>
        <w:ind w:left="5760" w:hanging="360"/>
        <w:tabs>
          <w:tab w:val="num" w:pos="5760" w:leader="none"/>
        </w:tabs>
      </w:pPr>
      <w:rPr>
        <w:rFonts w:ascii="Symbol" w:hAnsi="Symbol"/>
      </w:rPr>
    </w:lvl>
    <w:lvl w:ilvl="7">
      <w:start w:val="1"/>
      <w:numFmt w:val="bullet"/>
      <w:isLgl w:val="false"/>
      <w:suff w:val="tab"/>
      <w:lvlText w:val="o"/>
      <w:lvlJc w:val="left"/>
      <w:pPr>
        <w:ind w:left="6480" w:hanging="360"/>
        <w:tabs>
          <w:tab w:val="num" w:pos="6480" w:leader="none"/>
        </w:tabs>
      </w:pPr>
      <w:rPr>
        <w:rFonts w:ascii="Courier New" w:hAnsi="Courier New" w:cs="Courier New"/>
      </w:rPr>
    </w:lvl>
    <w:lvl w:ilvl="8">
      <w:start w:val="1"/>
      <w:numFmt w:val="bullet"/>
      <w:isLgl w:val="false"/>
      <w:suff w:val="tab"/>
      <w:lvlText w:val=""/>
      <w:lvlJc w:val="left"/>
      <w:pPr>
        <w:ind w:left="7200" w:hanging="360"/>
        <w:tabs>
          <w:tab w:val="num" w:pos="7200" w:leader="none"/>
        </w:tabs>
      </w:pPr>
      <w:rPr>
        <w:rFonts w:ascii="Wingdings" w:hAnsi="Wingdings"/>
      </w:rPr>
    </w:lvl>
  </w:abstractNum>
  <w:abstractNum w:abstractNumId="4">
    <w:multiLevelType w:val="hybridMultilevel"/>
    <w:lvl w:ilvl="0">
      <w:start w:val="8"/>
      <w:numFmt w:val="decimal"/>
      <w:isLgl w:val="false"/>
      <w:suff w:val="tab"/>
      <w:lvlText w:val="%1."/>
      <w:lvlJc w:val="left"/>
      <w:pPr>
        <w:ind w:left="360" w:hanging="360"/>
        <w:tabs>
          <w:tab w:val="num" w:pos="360" w:leader="none"/>
        </w:tabs>
      </w:pPr>
    </w:lvl>
    <w:lvl w:ilvl="1">
      <w:start w:val="5"/>
      <w:numFmt w:val="decimal"/>
      <w:isLgl w:val="false"/>
      <w:suff w:val="tab"/>
      <w:lvlText w:val="%1.%2."/>
      <w:lvlJc w:val="left"/>
      <w:pPr>
        <w:ind w:left="927" w:hanging="360"/>
        <w:tabs>
          <w:tab w:val="num" w:pos="927" w:leader="none"/>
        </w:tabs>
      </w:pPr>
    </w:lvl>
    <w:lvl w:ilvl="2">
      <w:start w:val="1"/>
      <w:numFmt w:val="decimal"/>
      <w:isLgl w:val="false"/>
      <w:suff w:val="tab"/>
      <w:lvlText w:val="%1.%2.%3."/>
      <w:lvlJc w:val="left"/>
      <w:pPr>
        <w:ind w:left="1854" w:hanging="720"/>
        <w:tabs>
          <w:tab w:val="num" w:pos="1854" w:leader="none"/>
        </w:tabs>
      </w:pPr>
    </w:lvl>
    <w:lvl w:ilvl="3">
      <w:start w:val="1"/>
      <w:numFmt w:val="decimal"/>
      <w:isLgl w:val="false"/>
      <w:suff w:val="tab"/>
      <w:lvlText w:val="%1.%2.%3.%4."/>
      <w:lvlJc w:val="left"/>
      <w:pPr>
        <w:ind w:left="2421" w:hanging="720"/>
        <w:tabs>
          <w:tab w:val="num" w:pos="2421" w:leader="none"/>
        </w:tabs>
      </w:pPr>
    </w:lvl>
    <w:lvl w:ilvl="4">
      <w:start w:val="1"/>
      <w:numFmt w:val="decimal"/>
      <w:isLgl w:val="false"/>
      <w:suff w:val="tab"/>
      <w:lvlText w:val="%1.%2.%3.%4.%5."/>
      <w:lvlJc w:val="left"/>
      <w:pPr>
        <w:ind w:left="3348" w:hanging="1080"/>
        <w:tabs>
          <w:tab w:val="num" w:pos="3348" w:leader="none"/>
        </w:tabs>
      </w:pPr>
    </w:lvl>
    <w:lvl w:ilvl="5">
      <w:start w:val="1"/>
      <w:numFmt w:val="decimal"/>
      <w:isLgl w:val="false"/>
      <w:suff w:val="tab"/>
      <w:lvlText w:val="%1.%2.%3.%4.%5.%6."/>
      <w:lvlJc w:val="left"/>
      <w:pPr>
        <w:ind w:left="3915" w:hanging="1080"/>
        <w:tabs>
          <w:tab w:val="num" w:pos="3915" w:leader="none"/>
        </w:tabs>
      </w:pPr>
    </w:lvl>
    <w:lvl w:ilvl="6">
      <w:start w:val="1"/>
      <w:numFmt w:val="decimal"/>
      <w:isLgl w:val="false"/>
      <w:suff w:val="tab"/>
      <w:lvlText w:val="%1.%2.%3.%4.%5.%6.%7."/>
      <w:lvlJc w:val="left"/>
      <w:pPr>
        <w:ind w:left="4482" w:hanging="1080"/>
        <w:tabs>
          <w:tab w:val="num" w:pos="4482" w:leader="none"/>
        </w:tabs>
      </w:pPr>
    </w:lvl>
    <w:lvl w:ilvl="7">
      <w:start w:val="1"/>
      <w:numFmt w:val="decimal"/>
      <w:isLgl w:val="false"/>
      <w:suff w:val="tab"/>
      <w:lvlText w:val="%1.%2.%3.%4.%5.%6.%7.%8."/>
      <w:lvlJc w:val="left"/>
      <w:pPr>
        <w:ind w:left="5409" w:hanging="1440"/>
        <w:tabs>
          <w:tab w:val="num" w:pos="5409" w:leader="none"/>
        </w:tabs>
      </w:pPr>
    </w:lvl>
    <w:lvl w:ilvl="8">
      <w:start w:val="1"/>
      <w:numFmt w:val="decimal"/>
      <w:isLgl w:val="false"/>
      <w:suff w:val="tab"/>
      <w:lvlText w:val="%1.%2.%3.%4.%5.%6.%7.%8.%9."/>
      <w:lvlJc w:val="left"/>
      <w:pPr>
        <w:ind w:left="5976" w:hanging="1440"/>
        <w:tabs>
          <w:tab w:val="num" w:pos="5976" w:leader="none"/>
        </w:tabs>
      </w:pPr>
    </w:lvl>
  </w:abstractNum>
  <w:abstractNum w:abstractNumId="5">
    <w:multiLevelType w:val="hybridMultilevel"/>
    <w:lvl w:ilvl="0">
      <w:start w:val="1"/>
      <w:numFmt w:val="bullet"/>
      <w:isLgl w:val="false"/>
      <w:suff w:val="tab"/>
      <w:lvlText w:val=""/>
      <w:lvlJc w:val="left"/>
      <w:pPr>
        <w:ind w:left="1440" w:hanging="360"/>
        <w:tabs>
          <w:tab w:val="num" w:pos="1440" w:leader="none"/>
        </w:tabs>
      </w:pPr>
      <w:rPr>
        <w:rFonts w:ascii="Symbol" w:hAnsi="Symbol"/>
      </w:rPr>
    </w:lvl>
    <w:lvl w:ilvl="1">
      <w:start w:val="1"/>
      <w:numFmt w:val="bullet"/>
      <w:isLgl w:val="false"/>
      <w:suff w:val="tab"/>
      <w:lvlText w:val="o"/>
      <w:lvlJc w:val="left"/>
      <w:pPr>
        <w:ind w:left="2160" w:hanging="360"/>
        <w:tabs>
          <w:tab w:val="num" w:pos="2160" w:leader="none"/>
        </w:tabs>
      </w:pPr>
      <w:rPr>
        <w:rFonts w:ascii="Courier New" w:hAnsi="Courier New"/>
      </w:rPr>
    </w:lvl>
    <w:lvl w:ilvl="2">
      <w:start w:val="1"/>
      <w:numFmt w:val="bullet"/>
      <w:isLgl w:val="false"/>
      <w:suff w:val="tab"/>
      <w:lvlText w:val=""/>
      <w:lvlJc w:val="left"/>
      <w:pPr>
        <w:ind w:left="2880" w:hanging="360"/>
        <w:tabs>
          <w:tab w:val="num" w:pos="2880" w:leader="none"/>
        </w:tabs>
      </w:pPr>
      <w:rPr>
        <w:rFonts w:ascii="Wingdings" w:hAnsi="Wingdings"/>
      </w:rPr>
    </w:lvl>
    <w:lvl w:ilvl="3">
      <w:start w:val="1"/>
      <w:numFmt w:val="bullet"/>
      <w:isLgl w:val="false"/>
      <w:suff w:val="tab"/>
      <w:lvlText w:val=""/>
      <w:lvlJc w:val="left"/>
      <w:pPr>
        <w:ind w:left="3600" w:hanging="360"/>
        <w:tabs>
          <w:tab w:val="num" w:pos="3600" w:leader="none"/>
        </w:tabs>
      </w:pPr>
      <w:rPr>
        <w:rFonts w:ascii="Symbol" w:hAnsi="Symbol"/>
      </w:rPr>
    </w:lvl>
    <w:lvl w:ilvl="4">
      <w:start w:val="1"/>
      <w:numFmt w:val="bullet"/>
      <w:isLgl w:val="false"/>
      <w:suff w:val="tab"/>
      <w:lvlText w:val="o"/>
      <w:lvlJc w:val="left"/>
      <w:pPr>
        <w:ind w:left="4320" w:hanging="360"/>
        <w:tabs>
          <w:tab w:val="num" w:pos="4320" w:leader="none"/>
        </w:tabs>
      </w:pPr>
      <w:rPr>
        <w:rFonts w:ascii="Courier New" w:hAnsi="Courier New"/>
      </w:rPr>
    </w:lvl>
    <w:lvl w:ilvl="5">
      <w:start w:val="1"/>
      <w:numFmt w:val="bullet"/>
      <w:isLgl w:val="false"/>
      <w:suff w:val="tab"/>
      <w:lvlText w:val=""/>
      <w:lvlJc w:val="left"/>
      <w:pPr>
        <w:ind w:left="5040" w:hanging="360"/>
        <w:tabs>
          <w:tab w:val="num" w:pos="5040" w:leader="none"/>
        </w:tabs>
      </w:pPr>
      <w:rPr>
        <w:rFonts w:ascii="Wingdings" w:hAnsi="Wingdings"/>
      </w:rPr>
    </w:lvl>
    <w:lvl w:ilvl="6">
      <w:start w:val="1"/>
      <w:numFmt w:val="bullet"/>
      <w:isLgl w:val="false"/>
      <w:suff w:val="tab"/>
      <w:lvlText w:val=""/>
      <w:lvlJc w:val="left"/>
      <w:pPr>
        <w:ind w:left="5760" w:hanging="360"/>
        <w:tabs>
          <w:tab w:val="num" w:pos="5760" w:leader="none"/>
        </w:tabs>
      </w:pPr>
      <w:rPr>
        <w:rFonts w:ascii="Symbol" w:hAnsi="Symbol"/>
      </w:rPr>
    </w:lvl>
    <w:lvl w:ilvl="7">
      <w:start w:val="1"/>
      <w:numFmt w:val="bullet"/>
      <w:isLgl w:val="false"/>
      <w:suff w:val="tab"/>
      <w:lvlText w:val="o"/>
      <w:lvlJc w:val="left"/>
      <w:pPr>
        <w:ind w:left="6480" w:hanging="360"/>
        <w:tabs>
          <w:tab w:val="num" w:pos="6480" w:leader="none"/>
        </w:tabs>
      </w:pPr>
      <w:rPr>
        <w:rFonts w:ascii="Courier New" w:hAnsi="Courier New"/>
      </w:rPr>
    </w:lvl>
    <w:lvl w:ilvl="8">
      <w:start w:val="1"/>
      <w:numFmt w:val="bullet"/>
      <w:isLgl w:val="false"/>
      <w:suff w:val="tab"/>
      <w:lvlText w:val=""/>
      <w:lvlJc w:val="left"/>
      <w:pPr>
        <w:ind w:left="7200" w:hanging="360"/>
        <w:tabs>
          <w:tab w:val="num" w:pos="7200" w:leader="none"/>
        </w:tabs>
      </w:pPr>
      <w:rPr>
        <w:rFonts w:ascii="Wingdings" w:hAnsi="Wingdings"/>
      </w:rPr>
    </w:lvl>
  </w:abstractNum>
  <w:abstractNum w:abstractNumId="6">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334" w:hanging="108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112" w:hanging="1440"/>
      </w:pPr>
    </w:lvl>
  </w:abstractNum>
  <w:abstractNum w:abstractNumId="7">
    <w:multiLevelType w:val="hybridMultilevel"/>
    <w:lvl w:ilvl="0">
      <w:start w:val="1"/>
      <w:numFmt w:val="decimal"/>
      <w:isLgl w:val="false"/>
      <w:suff w:val="tab"/>
      <w:lvlText w:val="%1."/>
      <w:lvlJc w:val="left"/>
      <w:pPr>
        <w:ind w:left="1080" w:hanging="360"/>
        <w:tabs>
          <w:tab w:val="num" w:pos="1080" w:leader="none"/>
        </w:tabs>
      </w:pPr>
    </w:lvl>
    <w:lvl w:ilvl="1">
      <w:start w:val="1"/>
      <w:numFmt w:val="lowerLetter"/>
      <w:isLgl w:val="false"/>
      <w:suff w:val="tab"/>
      <w:lvlText w:val="%2."/>
      <w:lvlJc w:val="left"/>
      <w:pPr>
        <w:ind w:left="1800" w:hanging="360"/>
        <w:tabs>
          <w:tab w:val="num" w:pos="1800" w:leader="none"/>
        </w:tabs>
      </w:pPr>
    </w:lvl>
    <w:lvl w:ilvl="2">
      <w:start w:val="1"/>
      <w:numFmt w:val="lowerRoman"/>
      <w:isLgl w:val="false"/>
      <w:suff w:val="tab"/>
      <w:lvlText w:val="%3."/>
      <w:lvlJc w:val="right"/>
      <w:pPr>
        <w:ind w:left="2520" w:hanging="180"/>
        <w:tabs>
          <w:tab w:val="num" w:pos="2520" w:leader="none"/>
        </w:tabs>
      </w:pPr>
    </w:lvl>
    <w:lvl w:ilvl="3">
      <w:start w:val="1"/>
      <w:numFmt w:val="decimal"/>
      <w:isLgl w:val="false"/>
      <w:suff w:val="tab"/>
      <w:lvlText w:val="%4."/>
      <w:lvlJc w:val="left"/>
      <w:pPr>
        <w:ind w:left="3240" w:hanging="360"/>
        <w:tabs>
          <w:tab w:val="num" w:pos="3240" w:leader="none"/>
        </w:tabs>
      </w:pPr>
    </w:lvl>
    <w:lvl w:ilvl="4">
      <w:start w:val="1"/>
      <w:numFmt w:val="lowerLetter"/>
      <w:isLgl w:val="false"/>
      <w:suff w:val="tab"/>
      <w:lvlText w:val="%5."/>
      <w:lvlJc w:val="left"/>
      <w:pPr>
        <w:ind w:left="3960" w:hanging="360"/>
        <w:tabs>
          <w:tab w:val="num" w:pos="3960" w:leader="none"/>
        </w:tabs>
      </w:pPr>
    </w:lvl>
    <w:lvl w:ilvl="5">
      <w:start w:val="1"/>
      <w:numFmt w:val="lowerRoman"/>
      <w:isLgl w:val="false"/>
      <w:suff w:val="tab"/>
      <w:lvlText w:val="%6."/>
      <w:lvlJc w:val="right"/>
      <w:pPr>
        <w:ind w:left="4680" w:hanging="180"/>
        <w:tabs>
          <w:tab w:val="num" w:pos="4680" w:leader="none"/>
        </w:tabs>
      </w:pPr>
    </w:lvl>
    <w:lvl w:ilvl="6">
      <w:start w:val="1"/>
      <w:numFmt w:val="decimal"/>
      <w:isLgl w:val="false"/>
      <w:suff w:val="tab"/>
      <w:lvlText w:val="%7."/>
      <w:lvlJc w:val="left"/>
      <w:pPr>
        <w:ind w:left="5400" w:hanging="360"/>
        <w:tabs>
          <w:tab w:val="num" w:pos="5400" w:leader="none"/>
        </w:tabs>
      </w:pPr>
    </w:lvl>
    <w:lvl w:ilvl="7">
      <w:start w:val="1"/>
      <w:numFmt w:val="lowerLetter"/>
      <w:isLgl w:val="false"/>
      <w:suff w:val="tab"/>
      <w:lvlText w:val="%8."/>
      <w:lvlJc w:val="left"/>
      <w:pPr>
        <w:ind w:left="6120" w:hanging="360"/>
        <w:tabs>
          <w:tab w:val="num" w:pos="6120" w:leader="none"/>
        </w:tabs>
      </w:pPr>
    </w:lvl>
    <w:lvl w:ilvl="8">
      <w:start w:val="1"/>
      <w:numFmt w:val="lowerRoman"/>
      <w:isLgl w:val="false"/>
      <w:suff w:val="tab"/>
      <w:lvlText w:val="%9."/>
      <w:lvlJc w:val="right"/>
      <w:pPr>
        <w:ind w:left="6840" w:hanging="180"/>
        <w:tabs>
          <w:tab w:val="num" w:pos="6840" w:leader="none"/>
        </w:tabs>
      </w:pPr>
    </w:lvl>
  </w:abstractNum>
  <w:abstractNum w:abstractNumId="8">
    <w:multiLevelType w:val="hybridMultilevel"/>
    <w:lvl w:ilvl="0">
      <w:start w:val="7"/>
      <w:numFmt w:val="decimal"/>
      <w:isLgl w:val="false"/>
      <w:suff w:val="tab"/>
      <w:lvlText w:val="%1."/>
      <w:lvlJc w:val="left"/>
      <w:pPr>
        <w:ind w:left="450" w:hanging="450"/>
        <w:tabs>
          <w:tab w:val="num" w:pos="450" w:leader="none"/>
        </w:tabs>
      </w:pPr>
    </w:lvl>
    <w:lvl w:ilvl="1">
      <w:start w:val="1"/>
      <w:numFmt w:val="decimal"/>
      <w:isLgl w:val="false"/>
      <w:suff w:val="tab"/>
      <w:lvlText w:val="%1.%2."/>
      <w:lvlJc w:val="left"/>
      <w:pPr>
        <w:ind w:left="973" w:hanging="450"/>
        <w:tabs>
          <w:tab w:val="num" w:pos="973" w:leader="none"/>
        </w:tabs>
      </w:pPr>
    </w:lvl>
    <w:lvl w:ilvl="2">
      <w:start w:val="2"/>
      <w:numFmt w:val="decimal"/>
      <w:isLgl w:val="false"/>
      <w:suff w:val="tab"/>
      <w:lvlText w:val="%1.%2.%3."/>
      <w:lvlJc w:val="left"/>
      <w:pPr>
        <w:ind w:left="1766" w:hanging="720"/>
        <w:tabs>
          <w:tab w:val="num" w:pos="1766" w:leader="none"/>
        </w:tabs>
      </w:pPr>
    </w:lvl>
    <w:lvl w:ilvl="3">
      <w:start w:val="1"/>
      <w:numFmt w:val="decimal"/>
      <w:isLgl w:val="false"/>
      <w:suff w:val="tab"/>
      <w:lvlText w:val="%1.%2.%3.%4."/>
      <w:lvlJc w:val="left"/>
      <w:pPr>
        <w:ind w:left="2289" w:hanging="720"/>
        <w:tabs>
          <w:tab w:val="num" w:pos="2289" w:leader="none"/>
        </w:tabs>
      </w:pPr>
    </w:lvl>
    <w:lvl w:ilvl="4">
      <w:start w:val="1"/>
      <w:numFmt w:val="decimal"/>
      <w:isLgl w:val="false"/>
      <w:suff w:val="tab"/>
      <w:lvlText w:val="%1.%2.%3.%4.%5."/>
      <w:lvlJc w:val="left"/>
      <w:pPr>
        <w:ind w:left="3172" w:hanging="1080"/>
        <w:tabs>
          <w:tab w:val="num" w:pos="3172" w:leader="none"/>
        </w:tabs>
      </w:pPr>
    </w:lvl>
    <w:lvl w:ilvl="5">
      <w:start w:val="1"/>
      <w:numFmt w:val="decimal"/>
      <w:isLgl w:val="false"/>
      <w:suff w:val="tab"/>
      <w:lvlText w:val="%1.%2.%3.%4.%5.%6."/>
      <w:lvlJc w:val="left"/>
      <w:pPr>
        <w:ind w:left="3695" w:hanging="1080"/>
        <w:tabs>
          <w:tab w:val="num" w:pos="3695" w:leader="none"/>
        </w:tabs>
      </w:pPr>
    </w:lvl>
    <w:lvl w:ilvl="6">
      <w:start w:val="1"/>
      <w:numFmt w:val="decimal"/>
      <w:isLgl w:val="false"/>
      <w:suff w:val="tab"/>
      <w:lvlText w:val="%1.%2.%3.%4.%5.%6.%7."/>
      <w:lvlJc w:val="left"/>
      <w:pPr>
        <w:ind w:left="4218" w:hanging="1080"/>
        <w:tabs>
          <w:tab w:val="num" w:pos="4218" w:leader="none"/>
        </w:tabs>
      </w:pPr>
    </w:lvl>
    <w:lvl w:ilvl="7">
      <w:start w:val="1"/>
      <w:numFmt w:val="decimal"/>
      <w:isLgl w:val="false"/>
      <w:suff w:val="tab"/>
      <w:lvlText w:val="%1.%2.%3.%4.%5.%6.%7.%8."/>
      <w:lvlJc w:val="left"/>
      <w:pPr>
        <w:ind w:left="5101" w:hanging="1440"/>
        <w:tabs>
          <w:tab w:val="num" w:pos="5101" w:leader="none"/>
        </w:tabs>
      </w:pPr>
    </w:lvl>
    <w:lvl w:ilvl="8">
      <w:start w:val="1"/>
      <w:numFmt w:val="decimal"/>
      <w:isLgl w:val="false"/>
      <w:suff w:val="tab"/>
      <w:lvlText w:val="%1.%2.%3.%4.%5.%6.%7.%8.%9."/>
      <w:lvlJc w:val="left"/>
      <w:pPr>
        <w:ind w:left="5624" w:hanging="1440"/>
        <w:tabs>
          <w:tab w:val="num" w:pos="5624" w:leader="none"/>
        </w:tabs>
      </w:pPr>
    </w:lvl>
  </w:abstractNum>
  <w:abstractNum w:abstractNumId="9">
    <w:multiLevelType w:val="hybridMultilevel"/>
    <w:lvl w:ilvl="0">
      <w:start w:val="8"/>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27" w:hanging="360"/>
        <w:tabs>
          <w:tab w:val="num" w:pos="927" w:leader="none"/>
        </w:tabs>
      </w:pPr>
    </w:lvl>
    <w:lvl w:ilvl="2">
      <w:start w:val="1"/>
      <w:numFmt w:val="decimal"/>
      <w:isLgl w:val="false"/>
      <w:suff w:val="tab"/>
      <w:lvlText w:val="%1.%2.%3."/>
      <w:lvlJc w:val="left"/>
      <w:pPr>
        <w:ind w:left="1854" w:hanging="720"/>
        <w:tabs>
          <w:tab w:val="num" w:pos="1854" w:leader="none"/>
        </w:tabs>
      </w:pPr>
    </w:lvl>
    <w:lvl w:ilvl="3">
      <w:start w:val="1"/>
      <w:numFmt w:val="decimal"/>
      <w:isLgl w:val="false"/>
      <w:suff w:val="tab"/>
      <w:lvlText w:val="%1.%2.%3.%4."/>
      <w:lvlJc w:val="left"/>
      <w:pPr>
        <w:ind w:left="2421" w:hanging="720"/>
        <w:tabs>
          <w:tab w:val="num" w:pos="2421" w:leader="none"/>
        </w:tabs>
      </w:pPr>
    </w:lvl>
    <w:lvl w:ilvl="4">
      <w:start w:val="1"/>
      <w:numFmt w:val="decimal"/>
      <w:isLgl w:val="false"/>
      <w:suff w:val="tab"/>
      <w:lvlText w:val="%1.%2.%3.%4.%5."/>
      <w:lvlJc w:val="left"/>
      <w:pPr>
        <w:ind w:left="3348" w:hanging="1080"/>
        <w:tabs>
          <w:tab w:val="num" w:pos="3348" w:leader="none"/>
        </w:tabs>
      </w:pPr>
    </w:lvl>
    <w:lvl w:ilvl="5">
      <w:start w:val="1"/>
      <w:numFmt w:val="decimal"/>
      <w:isLgl w:val="false"/>
      <w:suff w:val="tab"/>
      <w:lvlText w:val="%1.%2.%3.%4.%5.%6."/>
      <w:lvlJc w:val="left"/>
      <w:pPr>
        <w:ind w:left="3915" w:hanging="1080"/>
        <w:tabs>
          <w:tab w:val="num" w:pos="3915" w:leader="none"/>
        </w:tabs>
      </w:pPr>
    </w:lvl>
    <w:lvl w:ilvl="6">
      <w:start w:val="1"/>
      <w:numFmt w:val="decimal"/>
      <w:isLgl w:val="false"/>
      <w:suff w:val="tab"/>
      <w:lvlText w:val="%1.%2.%3.%4.%5.%6.%7."/>
      <w:lvlJc w:val="left"/>
      <w:pPr>
        <w:ind w:left="4482" w:hanging="1080"/>
        <w:tabs>
          <w:tab w:val="num" w:pos="4482" w:leader="none"/>
        </w:tabs>
      </w:pPr>
    </w:lvl>
    <w:lvl w:ilvl="7">
      <w:start w:val="1"/>
      <w:numFmt w:val="decimal"/>
      <w:isLgl w:val="false"/>
      <w:suff w:val="tab"/>
      <w:lvlText w:val="%1.%2.%3.%4.%5.%6.%7.%8."/>
      <w:lvlJc w:val="left"/>
      <w:pPr>
        <w:ind w:left="5409" w:hanging="1440"/>
        <w:tabs>
          <w:tab w:val="num" w:pos="5409" w:leader="none"/>
        </w:tabs>
      </w:pPr>
    </w:lvl>
    <w:lvl w:ilvl="8">
      <w:start w:val="1"/>
      <w:numFmt w:val="decimal"/>
      <w:isLgl w:val="false"/>
      <w:suff w:val="tab"/>
      <w:lvlText w:val="%1.%2.%3.%4.%5.%6.%7.%8.%9."/>
      <w:lvlJc w:val="left"/>
      <w:pPr>
        <w:ind w:left="5976" w:hanging="1440"/>
        <w:tabs>
          <w:tab w:val="num" w:pos="5976" w:leader="none"/>
        </w:tabs>
      </w:pPr>
    </w:lvl>
  </w:abstractNum>
  <w:abstractNum w:abstractNumId="10">
    <w:multiLevelType w:val="hybridMultilevel"/>
    <w:lvl w:ilvl="0">
      <w:start w:val="1"/>
      <w:numFmt w:val="bullet"/>
      <w:isLgl w:val="false"/>
      <w:suff w:val="tab"/>
      <w:lvlText w:val=""/>
      <w:lvlJc w:val="left"/>
      <w:pPr>
        <w:ind w:left="1068" w:hanging="360"/>
        <w:tabs>
          <w:tab w:val="num" w:pos="1068" w:leader="none"/>
        </w:tabs>
      </w:pPr>
      <w:rPr>
        <w:rFonts w:ascii="Symbol" w:hAnsi="Symbol"/>
      </w:rPr>
    </w:lvl>
    <w:lvl w:ilvl="1">
      <w:start w:val="1"/>
      <w:numFmt w:val="bullet"/>
      <w:isLgl w:val="false"/>
      <w:suff w:val="tab"/>
      <w:lvlText w:val="o"/>
      <w:lvlJc w:val="left"/>
      <w:pPr>
        <w:ind w:left="1297" w:hanging="360"/>
        <w:tabs>
          <w:tab w:val="num" w:pos="1297" w:leader="none"/>
        </w:tabs>
      </w:pPr>
      <w:rPr>
        <w:rFonts w:ascii="Courier New" w:hAnsi="Courier New" w:cs="Courier New"/>
      </w:rPr>
    </w:lvl>
    <w:lvl w:ilvl="2">
      <w:start w:val="1"/>
      <w:numFmt w:val="bullet"/>
      <w:isLgl w:val="false"/>
      <w:suff w:val="tab"/>
      <w:lvlText w:val=""/>
      <w:lvlJc w:val="left"/>
      <w:pPr>
        <w:ind w:left="2017" w:hanging="360"/>
        <w:tabs>
          <w:tab w:val="num" w:pos="2017" w:leader="none"/>
        </w:tabs>
      </w:pPr>
      <w:rPr>
        <w:rFonts w:ascii="Wingdings" w:hAnsi="Wingdings"/>
      </w:rPr>
    </w:lvl>
    <w:lvl w:ilvl="3">
      <w:start w:val="1"/>
      <w:numFmt w:val="bullet"/>
      <w:isLgl w:val="false"/>
      <w:suff w:val="tab"/>
      <w:lvlText w:val=""/>
      <w:lvlJc w:val="left"/>
      <w:pPr>
        <w:ind w:left="2737" w:hanging="360"/>
        <w:tabs>
          <w:tab w:val="num" w:pos="2737" w:leader="none"/>
        </w:tabs>
      </w:pPr>
      <w:rPr>
        <w:rFonts w:ascii="Symbol" w:hAnsi="Symbol"/>
      </w:rPr>
    </w:lvl>
    <w:lvl w:ilvl="4">
      <w:start w:val="1"/>
      <w:numFmt w:val="bullet"/>
      <w:isLgl w:val="false"/>
      <w:suff w:val="tab"/>
      <w:lvlText w:val="o"/>
      <w:lvlJc w:val="left"/>
      <w:pPr>
        <w:ind w:left="3457" w:hanging="360"/>
        <w:tabs>
          <w:tab w:val="num" w:pos="3457" w:leader="none"/>
        </w:tabs>
      </w:pPr>
      <w:rPr>
        <w:rFonts w:ascii="Courier New" w:hAnsi="Courier New" w:cs="Courier New"/>
      </w:rPr>
    </w:lvl>
    <w:lvl w:ilvl="5">
      <w:start w:val="1"/>
      <w:numFmt w:val="bullet"/>
      <w:isLgl w:val="false"/>
      <w:suff w:val="tab"/>
      <w:lvlText w:val=""/>
      <w:lvlJc w:val="left"/>
      <w:pPr>
        <w:ind w:left="4177" w:hanging="360"/>
        <w:tabs>
          <w:tab w:val="num" w:pos="4177" w:leader="none"/>
        </w:tabs>
      </w:pPr>
      <w:rPr>
        <w:rFonts w:ascii="Wingdings" w:hAnsi="Wingdings"/>
      </w:rPr>
    </w:lvl>
    <w:lvl w:ilvl="6">
      <w:start w:val="1"/>
      <w:numFmt w:val="bullet"/>
      <w:isLgl w:val="false"/>
      <w:suff w:val="tab"/>
      <w:lvlText w:val=""/>
      <w:lvlJc w:val="left"/>
      <w:pPr>
        <w:ind w:left="4897" w:hanging="360"/>
        <w:tabs>
          <w:tab w:val="num" w:pos="4897" w:leader="none"/>
        </w:tabs>
      </w:pPr>
      <w:rPr>
        <w:rFonts w:ascii="Symbol" w:hAnsi="Symbol"/>
      </w:rPr>
    </w:lvl>
    <w:lvl w:ilvl="7">
      <w:start w:val="1"/>
      <w:numFmt w:val="bullet"/>
      <w:isLgl w:val="false"/>
      <w:suff w:val="tab"/>
      <w:lvlText w:val="o"/>
      <w:lvlJc w:val="left"/>
      <w:pPr>
        <w:ind w:left="5617" w:hanging="360"/>
        <w:tabs>
          <w:tab w:val="num" w:pos="5617" w:leader="none"/>
        </w:tabs>
      </w:pPr>
      <w:rPr>
        <w:rFonts w:ascii="Courier New" w:hAnsi="Courier New" w:cs="Courier New"/>
      </w:rPr>
    </w:lvl>
    <w:lvl w:ilvl="8">
      <w:start w:val="1"/>
      <w:numFmt w:val="bullet"/>
      <w:isLgl w:val="false"/>
      <w:suff w:val="tab"/>
      <w:lvlText w:val=""/>
      <w:lvlJc w:val="left"/>
      <w:pPr>
        <w:ind w:left="6337" w:hanging="360"/>
        <w:tabs>
          <w:tab w:val="num" w:pos="6337" w:leader="none"/>
        </w:tabs>
      </w:pPr>
      <w:rPr>
        <w:rFonts w:ascii="Wingdings" w:hAnsi="Wingdings"/>
      </w:rPr>
    </w:lvl>
  </w:abstractNum>
  <w:abstractNum w:abstractNumId="11">
    <w:multiLevelType w:val="hybridMultilevel"/>
    <w:lvl w:ilvl="0">
      <w:start w:val="1"/>
      <w:numFmt w:val="decimal"/>
      <w:isLgl w:val="false"/>
      <w:suff w:val="tab"/>
      <w:lvlText w:val="%1."/>
      <w:lvlJc w:val="left"/>
      <w:pPr>
        <w:ind w:left="360" w:hanging="360"/>
      </w:pPr>
    </w:lvl>
    <w:lvl w:ilvl="1">
      <w:start w:val="1"/>
      <w:numFmt w:val="decimal"/>
      <w:isLgl w:val="false"/>
      <w:suff w:val="tab"/>
      <w:lvlText w:val="%1.%2."/>
      <w:lvlJc w:val="left"/>
      <w:pPr>
        <w:ind w:left="1065" w:hanging="360"/>
      </w:pPr>
    </w:lvl>
    <w:lvl w:ilvl="2">
      <w:start w:val="1"/>
      <w:numFmt w:val="decimal"/>
      <w:isLgl w:val="false"/>
      <w:suff w:val="tab"/>
      <w:lvlText w:val="%1.%2.%3."/>
      <w:lvlJc w:val="left"/>
      <w:pPr>
        <w:ind w:left="2130" w:hanging="720"/>
      </w:pPr>
    </w:lvl>
    <w:lvl w:ilvl="3">
      <w:start w:val="1"/>
      <w:numFmt w:val="decimal"/>
      <w:isLgl w:val="false"/>
      <w:suff w:val="tab"/>
      <w:lvlText w:val="%1.%2.%3.%4."/>
      <w:lvlJc w:val="left"/>
      <w:pPr>
        <w:ind w:left="2835" w:hanging="720"/>
      </w:pPr>
    </w:lvl>
    <w:lvl w:ilvl="4">
      <w:start w:val="1"/>
      <w:numFmt w:val="decimal"/>
      <w:isLgl w:val="false"/>
      <w:suff w:val="tab"/>
      <w:lvlText w:val="%1.%2.%3.%4.%5."/>
      <w:lvlJc w:val="left"/>
      <w:pPr>
        <w:ind w:left="3900" w:hanging="1080"/>
      </w:pPr>
    </w:lvl>
    <w:lvl w:ilvl="5">
      <w:start w:val="1"/>
      <w:numFmt w:val="decimal"/>
      <w:isLgl w:val="false"/>
      <w:suff w:val="tab"/>
      <w:lvlText w:val="%1.%2.%3.%4.%5.%6."/>
      <w:lvlJc w:val="left"/>
      <w:pPr>
        <w:ind w:left="4605" w:hanging="1080"/>
      </w:pPr>
    </w:lvl>
    <w:lvl w:ilvl="6">
      <w:start w:val="1"/>
      <w:numFmt w:val="decimal"/>
      <w:isLgl w:val="false"/>
      <w:suff w:val="tab"/>
      <w:lvlText w:val="%1.%2.%3.%4.%5.%6.%7."/>
      <w:lvlJc w:val="left"/>
      <w:pPr>
        <w:ind w:left="5310" w:hanging="1080"/>
      </w:pPr>
    </w:lvl>
    <w:lvl w:ilvl="7">
      <w:start w:val="1"/>
      <w:numFmt w:val="decimal"/>
      <w:isLgl w:val="false"/>
      <w:suff w:val="tab"/>
      <w:lvlText w:val="%1.%2.%3.%4.%5.%6.%7.%8."/>
      <w:lvlJc w:val="left"/>
      <w:pPr>
        <w:ind w:left="6375" w:hanging="1440"/>
      </w:pPr>
    </w:lvl>
    <w:lvl w:ilvl="8">
      <w:start w:val="1"/>
      <w:numFmt w:val="decimal"/>
      <w:isLgl w:val="false"/>
      <w:suff w:val="tab"/>
      <w:lvlText w:val="%1.%2.%3.%4.%5.%6.%7.%8.%9."/>
      <w:lvlJc w:val="left"/>
      <w:pPr>
        <w:ind w:left="7080" w:hanging="1440"/>
      </w:pPr>
    </w:lvl>
  </w:abstractNum>
  <w:abstractNum w:abstractNumId="12">
    <w:multiLevelType w:val="hybridMultilevel"/>
    <w:lvl w:ilvl="0">
      <w:start w:val="1"/>
      <w:numFmt w:val="bullet"/>
      <w:isLgl w:val="false"/>
      <w:suff w:val="tab"/>
      <w:lvlText w:val=""/>
      <w:lvlJc w:val="left"/>
      <w:pPr>
        <w:ind w:left="720" w:hanging="360"/>
        <w:tabs>
          <w:tab w:val="num" w:pos="720" w:leader="none"/>
        </w:tabs>
      </w:pPr>
      <w:rPr>
        <w:rFonts w:ascii="Wingdings" w:hAnsi="Wingdings"/>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3">
    <w:multiLevelType w:val="hybridMultilevel"/>
    <w:lvl w:ilvl="0">
      <w:start w:val="7"/>
      <w:numFmt w:val="decimal"/>
      <w:isLgl w:val="false"/>
      <w:suff w:val="tab"/>
      <w:lvlText w:val="%1."/>
      <w:lvlJc w:val="left"/>
      <w:pPr>
        <w:ind w:left="450" w:hanging="450"/>
        <w:tabs>
          <w:tab w:val="num" w:pos="450" w:leader="none"/>
        </w:tabs>
      </w:pPr>
    </w:lvl>
    <w:lvl w:ilvl="1">
      <w:start w:val="2"/>
      <w:numFmt w:val="decimal"/>
      <w:isLgl w:val="false"/>
      <w:suff w:val="tab"/>
      <w:lvlText w:val="%1.%2."/>
      <w:lvlJc w:val="left"/>
      <w:pPr>
        <w:ind w:left="946" w:hanging="450"/>
        <w:tabs>
          <w:tab w:val="num" w:pos="946" w:leader="none"/>
        </w:tabs>
      </w:pPr>
    </w:lvl>
    <w:lvl w:ilvl="2">
      <w:start w:val="1"/>
      <w:numFmt w:val="decimal"/>
      <w:isLgl w:val="false"/>
      <w:suff w:val="tab"/>
      <w:lvlText w:val="%1.%2.%3."/>
      <w:lvlJc w:val="left"/>
      <w:pPr>
        <w:ind w:left="1712" w:hanging="720"/>
        <w:tabs>
          <w:tab w:val="num" w:pos="1712" w:leader="none"/>
        </w:tabs>
      </w:pPr>
    </w:lvl>
    <w:lvl w:ilvl="3">
      <w:start w:val="1"/>
      <w:numFmt w:val="decimal"/>
      <w:isLgl w:val="false"/>
      <w:suff w:val="tab"/>
      <w:lvlText w:val="%1.%2.%3.%4."/>
      <w:lvlJc w:val="left"/>
      <w:pPr>
        <w:ind w:left="2208" w:hanging="720"/>
        <w:tabs>
          <w:tab w:val="num" w:pos="2208" w:leader="none"/>
        </w:tabs>
      </w:pPr>
    </w:lvl>
    <w:lvl w:ilvl="4">
      <w:start w:val="1"/>
      <w:numFmt w:val="decimal"/>
      <w:isLgl w:val="false"/>
      <w:suff w:val="tab"/>
      <w:lvlText w:val="%1.%2.%3.%4.%5."/>
      <w:lvlJc w:val="left"/>
      <w:pPr>
        <w:ind w:left="3064" w:hanging="1080"/>
        <w:tabs>
          <w:tab w:val="num" w:pos="3064" w:leader="none"/>
        </w:tabs>
      </w:pPr>
    </w:lvl>
    <w:lvl w:ilvl="5">
      <w:start w:val="1"/>
      <w:numFmt w:val="decimal"/>
      <w:isLgl w:val="false"/>
      <w:suff w:val="tab"/>
      <w:lvlText w:val="%1.%2.%3.%4.%5.%6."/>
      <w:lvlJc w:val="left"/>
      <w:pPr>
        <w:ind w:left="3560" w:hanging="1080"/>
        <w:tabs>
          <w:tab w:val="num" w:pos="3560" w:leader="none"/>
        </w:tabs>
      </w:pPr>
    </w:lvl>
    <w:lvl w:ilvl="6">
      <w:start w:val="1"/>
      <w:numFmt w:val="decimal"/>
      <w:isLgl w:val="false"/>
      <w:suff w:val="tab"/>
      <w:lvlText w:val="%1.%2.%3.%4.%5.%6.%7."/>
      <w:lvlJc w:val="left"/>
      <w:pPr>
        <w:ind w:left="4056" w:hanging="1080"/>
        <w:tabs>
          <w:tab w:val="num" w:pos="4056" w:leader="none"/>
        </w:tabs>
      </w:pPr>
    </w:lvl>
    <w:lvl w:ilvl="7">
      <w:start w:val="1"/>
      <w:numFmt w:val="decimal"/>
      <w:isLgl w:val="false"/>
      <w:suff w:val="tab"/>
      <w:lvlText w:val="%1.%2.%3.%4.%5.%6.%7.%8."/>
      <w:lvlJc w:val="left"/>
      <w:pPr>
        <w:ind w:left="4912" w:hanging="1440"/>
        <w:tabs>
          <w:tab w:val="num" w:pos="4912" w:leader="none"/>
        </w:tabs>
      </w:pPr>
    </w:lvl>
    <w:lvl w:ilvl="8">
      <w:start w:val="1"/>
      <w:numFmt w:val="decimal"/>
      <w:isLgl w:val="false"/>
      <w:suff w:val="tab"/>
      <w:lvlText w:val="%1.%2.%3.%4.%5.%6.%7.%8.%9."/>
      <w:lvlJc w:val="left"/>
      <w:pPr>
        <w:ind w:left="5408" w:hanging="1440"/>
        <w:tabs>
          <w:tab w:val="num" w:pos="5408" w:leader="none"/>
        </w:tabs>
      </w:pPr>
    </w:lvl>
  </w:abstractNum>
  <w:abstractNum w:abstractNumId="14">
    <w:multiLevelType w:val="hybridMultilevel"/>
    <w:lvl w:ilvl="0">
      <w:start w:val="3"/>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9"/>
      <w:numFmt w:val="decimal"/>
      <w:isLgl w:val="false"/>
      <w:suff w:val="tab"/>
      <w:lvlText w:val=""/>
      <w:lvlJc w:val="left"/>
      <w:pPr>
        <w:ind w:left="360" w:hanging="360"/>
        <w:tabs>
          <w:tab w:val="num" w:pos="360" w:leader="none"/>
        </w:tabs>
      </w:pPr>
    </w:lvl>
    <w:lvl w:ilvl="1">
      <w:start w:val="5"/>
      <w:numFmt w:val="decimal"/>
      <w:isLgl w:val="false"/>
      <w:suff w:val="tab"/>
      <w:lvlText w:val="%1.%2"/>
      <w:lvlJc w:val="left"/>
      <w:pPr>
        <w:ind w:left="750" w:hanging="390"/>
        <w:tabs>
          <w:tab w:val="num" w:pos="750" w:leader="none"/>
        </w:tabs>
      </w:pPr>
    </w:lvl>
    <w:lvl w:ilvl="2">
      <w:start w:val="7"/>
      <w:numFmt w:val="decimal"/>
      <w:isLgl w:val="false"/>
      <w:suff w:val="tab"/>
      <w:lvlText w:val="%1.%2.%3"/>
      <w:lvlJc w:val="left"/>
      <w:pPr>
        <w:ind w:left="1440" w:hanging="720"/>
        <w:tabs>
          <w:tab w:val="num" w:pos="1440" w:leader="none"/>
        </w:tabs>
      </w:pPr>
    </w:lvl>
    <w:lvl w:ilvl="3">
      <w:start w:val="1"/>
      <w:numFmt w:val="decimal"/>
      <w:isLgl w:val="false"/>
      <w:suff w:val="tab"/>
      <w:lvlText w:val="%1.%2.%3.%4"/>
      <w:lvlJc w:val="left"/>
      <w:pPr>
        <w:ind w:left="1800" w:hanging="720"/>
        <w:tabs>
          <w:tab w:val="num" w:pos="1800" w:leader="none"/>
        </w:tabs>
      </w:pPr>
    </w:lvl>
    <w:lvl w:ilvl="4">
      <w:start w:val="1"/>
      <w:numFmt w:val="decimal"/>
      <w:isLgl w:val="false"/>
      <w:suff w:val="tab"/>
      <w:lvlText w:val="%1.%2.%3.%4.%5"/>
      <w:lvlJc w:val="left"/>
      <w:pPr>
        <w:ind w:left="2160" w:hanging="720"/>
        <w:tabs>
          <w:tab w:val="num" w:pos="2160" w:leader="none"/>
        </w:tabs>
      </w:pPr>
    </w:lvl>
    <w:lvl w:ilvl="5">
      <w:start w:val="1"/>
      <w:numFmt w:val="decimal"/>
      <w:isLgl w:val="false"/>
      <w:suff w:val="tab"/>
      <w:lvlText w:val="%1.%2.%3.%4.%5.%6"/>
      <w:lvlJc w:val="left"/>
      <w:pPr>
        <w:ind w:left="2880" w:hanging="1080"/>
        <w:tabs>
          <w:tab w:val="num" w:pos="2880"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960" w:hanging="1440"/>
        <w:tabs>
          <w:tab w:val="num" w:pos="3960" w:leader="none"/>
        </w:tabs>
      </w:pPr>
    </w:lvl>
    <w:lvl w:ilvl="8">
      <w:start w:val="1"/>
      <w:numFmt w:val="decimal"/>
      <w:isLgl w:val="false"/>
      <w:suff w:val="tab"/>
      <w:lvlText w:val="%1.%2.%3.%4.%5.%6.%7.%8.%9"/>
      <w:lvlJc w:val="left"/>
      <w:pPr>
        <w:ind w:left="4320" w:hanging="1440"/>
        <w:tabs>
          <w:tab w:val="num" w:pos="4320" w:leader="none"/>
        </w:tabs>
      </w:pPr>
    </w:lvl>
  </w:abstractNum>
  <w:abstractNum w:abstractNumId="16">
    <w:multiLevelType w:val="hybridMultilevel"/>
    <w:lvl w:ilvl="0">
      <w:start w:val="4"/>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27" w:hanging="360"/>
        <w:tabs>
          <w:tab w:val="num" w:pos="927" w:leader="none"/>
        </w:tabs>
      </w:pPr>
    </w:lvl>
    <w:lvl w:ilvl="2">
      <w:start w:val="1"/>
      <w:numFmt w:val="decimal"/>
      <w:isLgl w:val="false"/>
      <w:suff w:val="tab"/>
      <w:lvlText w:val="%1.%2.%3."/>
      <w:lvlJc w:val="left"/>
      <w:pPr>
        <w:ind w:left="1854" w:hanging="720"/>
        <w:tabs>
          <w:tab w:val="num" w:pos="1854" w:leader="none"/>
        </w:tabs>
      </w:pPr>
    </w:lvl>
    <w:lvl w:ilvl="3">
      <w:start w:val="1"/>
      <w:numFmt w:val="decimal"/>
      <w:isLgl w:val="false"/>
      <w:suff w:val="tab"/>
      <w:lvlText w:val="%1.%2.%3.%4."/>
      <w:lvlJc w:val="left"/>
      <w:pPr>
        <w:ind w:left="2421" w:hanging="720"/>
        <w:tabs>
          <w:tab w:val="num" w:pos="2421" w:leader="none"/>
        </w:tabs>
      </w:pPr>
    </w:lvl>
    <w:lvl w:ilvl="4">
      <w:start w:val="1"/>
      <w:numFmt w:val="decimal"/>
      <w:isLgl w:val="false"/>
      <w:suff w:val="tab"/>
      <w:lvlText w:val="%1.%2.%3.%4.%5."/>
      <w:lvlJc w:val="left"/>
      <w:pPr>
        <w:ind w:left="3348" w:hanging="1080"/>
        <w:tabs>
          <w:tab w:val="num" w:pos="3348" w:leader="none"/>
        </w:tabs>
      </w:pPr>
    </w:lvl>
    <w:lvl w:ilvl="5">
      <w:start w:val="1"/>
      <w:numFmt w:val="decimal"/>
      <w:isLgl w:val="false"/>
      <w:suff w:val="tab"/>
      <w:lvlText w:val="%1.%2.%3.%4.%5.%6."/>
      <w:lvlJc w:val="left"/>
      <w:pPr>
        <w:ind w:left="3915" w:hanging="1080"/>
        <w:tabs>
          <w:tab w:val="num" w:pos="3915" w:leader="none"/>
        </w:tabs>
      </w:pPr>
    </w:lvl>
    <w:lvl w:ilvl="6">
      <w:start w:val="1"/>
      <w:numFmt w:val="decimal"/>
      <w:isLgl w:val="false"/>
      <w:suff w:val="tab"/>
      <w:lvlText w:val="%1.%2.%3.%4.%5.%6.%7."/>
      <w:lvlJc w:val="left"/>
      <w:pPr>
        <w:ind w:left="4482" w:hanging="1080"/>
        <w:tabs>
          <w:tab w:val="num" w:pos="4482" w:leader="none"/>
        </w:tabs>
      </w:pPr>
    </w:lvl>
    <w:lvl w:ilvl="7">
      <w:start w:val="1"/>
      <w:numFmt w:val="decimal"/>
      <w:isLgl w:val="false"/>
      <w:suff w:val="tab"/>
      <w:lvlText w:val="%1.%2.%3.%4.%5.%6.%7.%8."/>
      <w:lvlJc w:val="left"/>
      <w:pPr>
        <w:ind w:left="5409" w:hanging="1440"/>
        <w:tabs>
          <w:tab w:val="num" w:pos="5409" w:leader="none"/>
        </w:tabs>
      </w:pPr>
    </w:lvl>
    <w:lvl w:ilvl="8">
      <w:start w:val="1"/>
      <w:numFmt w:val="decimal"/>
      <w:isLgl w:val="false"/>
      <w:suff w:val="tab"/>
      <w:lvlText w:val="%1.%2.%3.%4.%5.%6.%7.%8.%9."/>
      <w:lvlJc w:val="left"/>
      <w:pPr>
        <w:ind w:left="5976" w:hanging="1440"/>
        <w:tabs>
          <w:tab w:val="num" w:pos="5976" w:leader="none"/>
        </w:tabs>
      </w:pPr>
    </w:lvl>
  </w:abstractNum>
  <w:abstractNum w:abstractNumId="17">
    <w:multiLevelType w:val="hybridMultilevel"/>
    <w:lvl w:ilvl="0">
      <w:start w:val="7"/>
      <w:numFmt w:val="decimal"/>
      <w:isLgl w:val="false"/>
      <w:suff w:val="tab"/>
      <w:lvlText w:val="%1."/>
      <w:lvlJc w:val="left"/>
      <w:pPr>
        <w:ind w:left="450" w:hanging="450"/>
        <w:tabs>
          <w:tab w:val="num" w:pos="450" w:leader="none"/>
        </w:tabs>
      </w:pPr>
    </w:lvl>
    <w:lvl w:ilvl="1">
      <w:start w:val="2"/>
      <w:numFmt w:val="decimal"/>
      <w:isLgl w:val="false"/>
      <w:suff w:val="tab"/>
      <w:lvlText w:val="%1.%2."/>
      <w:lvlJc w:val="left"/>
      <w:pPr>
        <w:ind w:left="946" w:hanging="450"/>
        <w:tabs>
          <w:tab w:val="num" w:pos="946" w:leader="none"/>
        </w:tabs>
      </w:pPr>
    </w:lvl>
    <w:lvl w:ilvl="2">
      <w:start w:val="3"/>
      <w:numFmt w:val="decimal"/>
      <w:isLgl w:val="false"/>
      <w:suff w:val="tab"/>
      <w:lvlText w:val="%1.%2.%3."/>
      <w:lvlJc w:val="left"/>
      <w:pPr>
        <w:ind w:left="1712" w:hanging="720"/>
        <w:tabs>
          <w:tab w:val="num" w:pos="1712" w:leader="none"/>
        </w:tabs>
      </w:pPr>
    </w:lvl>
    <w:lvl w:ilvl="3">
      <w:start w:val="1"/>
      <w:numFmt w:val="decimal"/>
      <w:isLgl w:val="false"/>
      <w:suff w:val="tab"/>
      <w:lvlText w:val="%1.%2.%3.%4."/>
      <w:lvlJc w:val="left"/>
      <w:pPr>
        <w:ind w:left="2208" w:hanging="720"/>
        <w:tabs>
          <w:tab w:val="num" w:pos="2208" w:leader="none"/>
        </w:tabs>
      </w:pPr>
    </w:lvl>
    <w:lvl w:ilvl="4">
      <w:start w:val="1"/>
      <w:numFmt w:val="decimal"/>
      <w:isLgl w:val="false"/>
      <w:suff w:val="tab"/>
      <w:lvlText w:val="%1.%2.%3.%4.%5."/>
      <w:lvlJc w:val="left"/>
      <w:pPr>
        <w:ind w:left="3064" w:hanging="1080"/>
        <w:tabs>
          <w:tab w:val="num" w:pos="3064" w:leader="none"/>
        </w:tabs>
      </w:pPr>
    </w:lvl>
    <w:lvl w:ilvl="5">
      <w:start w:val="1"/>
      <w:numFmt w:val="decimal"/>
      <w:isLgl w:val="false"/>
      <w:suff w:val="tab"/>
      <w:lvlText w:val="%1.%2.%3.%4.%5.%6."/>
      <w:lvlJc w:val="left"/>
      <w:pPr>
        <w:ind w:left="3560" w:hanging="1080"/>
        <w:tabs>
          <w:tab w:val="num" w:pos="3560" w:leader="none"/>
        </w:tabs>
      </w:pPr>
    </w:lvl>
    <w:lvl w:ilvl="6">
      <w:start w:val="1"/>
      <w:numFmt w:val="decimal"/>
      <w:isLgl w:val="false"/>
      <w:suff w:val="tab"/>
      <w:lvlText w:val="%1.%2.%3.%4.%5.%6.%7."/>
      <w:lvlJc w:val="left"/>
      <w:pPr>
        <w:ind w:left="4056" w:hanging="1080"/>
        <w:tabs>
          <w:tab w:val="num" w:pos="4056" w:leader="none"/>
        </w:tabs>
      </w:pPr>
    </w:lvl>
    <w:lvl w:ilvl="7">
      <w:start w:val="1"/>
      <w:numFmt w:val="decimal"/>
      <w:isLgl w:val="false"/>
      <w:suff w:val="tab"/>
      <w:lvlText w:val="%1.%2.%3.%4.%5.%6.%7.%8."/>
      <w:lvlJc w:val="left"/>
      <w:pPr>
        <w:ind w:left="4912" w:hanging="1440"/>
        <w:tabs>
          <w:tab w:val="num" w:pos="4912" w:leader="none"/>
        </w:tabs>
      </w:pPr>
    </w:lvl>
    <w:lvl w:ilvl="8">
      <w:start w:val="1"/>
      <w:numFmt w:val="decimal"/>
      <w:isLgl w:val="false"/>
      <w:suff w:val="tab"/>
      <w:lvlText w:val="%1.%2.%3.%4.%5.%6.%7.%8.%9."/>
      <w:lvlJc w:val="left"/>
      <w:pPr>
        <w:ind w:left="5408" w:hanging="1440"/>
        <w:tabs>
          <w:tab w:val="num" w:pos="5408" w:leader="none"/>
        </w:tabs>
      </w:pPr>
    </w:lvl>
  </w:abstractNum>
  <w:num w:numId="1">
    <w:abstractNumId w:val="0"/>
    <w:lvlOverride w:ilvl="0">
      <w:lvl w:ilvl="0">
        <w:start w:val="1"/>
        <w:numFmt w:val="bullet"/>
        <w:isLgl w:val="false"/>
        <w:suff w:val="tab"/>
        <w:lvlText w:val=""/>
        <w:legacy w:legacy="1" w:legacyIndent="0" w:legacySpace="0"/>
        <w:lvlJc w:val="left"/>
        <w:pPr>
          <w:ind w:left="850" w:hanging="283"/>
        </w:pPr>
        <w:rPr>
          <w:rFonts w:ascii="Courier New" w:hAnsi="Courier New"/>
          <w:sz w:val="28"/>
        </w:rPr>
      </w:lvl>
    </w:lvlOverride>
  </w:num>
  <w:num w:numId="2">
    <w:abstractNumId w:val="16"/>
  </w:num>
  <w:num w:numId="3">
    <w:abstractNumId w:val="8"/>
  </w:num>
  <w:num w:numId="4">
    <w:abstractNumId w:val="13"/>
  </w:num>
  <w:num w:numId="5">
    <w:abstractNumId w:val="9"/>
  </w:num>
  <w:num w:numId="6">
    <w:abstractNumId w:val="4"/>
  </w:num>
  <w:num w:numId="7">
    <w:abstractNumId w:val="17"/>
  </w:num>
  <w:num w:numId="8">
    <w:abstractNumId w:val="14"/>
  </w:num>
  <w:num w:numId="9">
    <w:abstractNumId w:val="0"/>
    <w:lvlOverride w:ilvl="0">
      <w:lvl w:ilvl="0">
        <w:start w:val="1"/>
        <w:numFmt w:val="bullet"/>
        <w:isLgl w:val="false"/>
        <w:suff w:val="tab"/>
        <w:lvlText w:val=""/>
        <w:legacy w:legacy="1" w:legacyIndent="0" w:legacySpace="0"/>
        <w:lvlJc w:val="left"/>
        <w:pPr>
          <w:ind w:left="283" w:hanging="283"/>
        </w:pPr>
        <w:rPr>
          <w:rFonts w:ascii="Courier New" w:hAnsi="Courier New"/>
          <w:sz w:val="28"/>
        </w:rPr>
      </w:lvl>
    </w:lvlOverride>
  </w:num>
  <w:num w:numId="10">
    <w:abstractNumId w:val="15"/>
  </w:num>
  <w:num w:numId="11">
    <w:abstractNumId w:val="7"/>
  </w:num>
  <w:num w:numId="12">
    <w:abstractNumId w:val="12"/>
  </w:num>
  <w:num w:numId="13">
    <w:abstractNumId w:val="5"/>
  </w:num>
  <w:num w:numId="14">
    <w:abstractNumId w:val="10"/>
  </w:num>
  <w:num w:numId="15">
    <w:abstractNumId w:val="2"/>
  </w:num>
  <w:num w:numId="16">
    <w:abstractNumId w:val="3"/>
  </w:num>
  <w:num w:numId="17">
    <w:abstractNumId w:val="11"/>
  </w:num>
  <w:num w:numId="18">
    <w:abstractNumId w:val="1"/>
  </w:num>
  <w:num w:numId="19">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Карина Геворгиевна">
    <w15:presenceInfo w15:providerId="Teamlab" w15:userId="74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1"/>
    <w:basedOn w:val="690"/>
    <w:next w:val="690"/>
    <w:link w:val="15"/>
    <w:uiPriority w:val="9"/>
    <w:qFormat/>
    <w:pPr>
      <w:keepLines/>
      <w:keepNext/>
      <w:spacing w:before="480" w:after="200"/>
      <w:outlineLvl w:val="0"/>
    </w:pPr>
    <w:rPr>
      <w:rFonts w:ascii="Liberation Sans" w:hAnsi="Liberation Sans" w:eastAsia="Liberation Sans" w:cs="Liberation Sans"/>
      <w:sz w:val="40"/>
      <w:szCs w:val="40"/>
    </w:rPr>
  </w:style>
  <w:style w:type="character" w:styleId="15">
    <w:name w:val="Heading 1 Char"/>
    <w:basedOn w:val="710"/>
    <w:link w:val="14"/>
    <w:uiPriority w:val="9"/>
    <w:rPr>
      <w:rFonts w:ascii="Liberation Sans" w:hAnsi="Liberation Sans" w:eastAsia="Liberation Sans" w:cs="Liberation Sans"/>
      <w:sz w:val="40"/>
      <w:szCs w:val="40"/>
    </w:rPr>
  </w:style>
  <w:style w:type="paragraph" w:styleId="16">
    <w:name w:val="Heading 2"/>
    <w:basedOn w:val="690"/>
    <w:next w:val="690"/>
    <w:link w:val="17"/>
    <w:uiPriority w:val="9"/>
    <w:unhideWhenUsed/>
    <w:qFormat/>
    <w:pPr>
      <w:keepLines/>
      <w:keepNext/>
      <w:spacing w:before="360" w:after="200"/>
      <w:outlineLvl w:val="1"/>
    </w:pPr>
    <w:rPr>
      <w:rFonts w:ascii="Liberation Sans" w:hAnsi="Liberation Sans" w:eastAsia="Liberation Sans" w:cs="Liberation Sans"/>
      <w:sz w:val="34"/>
    </w:rPr>
  </w:style>
  <w:style w:type="character" w:styleId="17">
    <w:name w:val="Heading 2 Char"/>
    <w:basedOn w:val="710"/>
    <w:link w:val="16"/>
    <w:uiPriority w:val="9"/>
    <w:rPr>
      <w:rFonts w:ascii="Liberation Sans" w:hAnsi="Liberation Sans" w:eastAsia="Liberation Sans" w:cs="Liberation Sans"/>
      <w:sz w:val="34"/>
    </w:rPr>
  </w:style>
  <w:style w:type="paragraph" w:styleId="18">
    <w:name w:val="Heading 3"/>
    <w:basedOn w:val="690"/>
    <w:next w:val="690"/>
    <w:link w:val="19"/>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19">
    <w:name w:val="Heading 3 Char"/>
    <w:basedOn w:val="710"/>
    <w:link w:val="18"/>
    <w:uiPriority w:val="9"/>
    <w:rPr>
      <w:rFonts w:ascii="Liberation Sans" w:hAnsi="Liberation Sans" w:eastAsia="Liberation Sans" w:cs="Liberation Sans"/>
      <w:sz w:val="30"/>
      <w:szCs w:val="30"/>
    </w:rPr>
  </w:style>
  <w:style w:type="paragraph" w:styleId="20">
    <w:name w:val="Heading 4"/>
    <w:basedOn w:val="690"/>
    <w:next w:val="690"/>
    <w:link w:val="21"/>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21">
    <w:name w:val="Heading 4 Char"/>
    <w:basedOn w:val="710"/>
    <w:link w:val="20"/>
    <w:uiPriority w:val="9"/>
    <w:rPr>
      <w:rFonts w:ascii="Liberation Sans" w:hAnsi="Liberation Sans" w:eastAsia="Liberation Sans" w:cs="Liberation Sans"/>
      <w:b/>
      <w:bCs/>
      <w:sz w:val="26"/>
      <w:szCs w:val="26"/>
    </w:rPr>
  </w:style>
  <w:style w:type="paragraph" w:styleId="22">
    <w:name w:val="Heading 5"/>
    <w:basedOn w:val="690"/>
    <w:next w:val="690"/>
    <w:link w:val="23"/>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23">
    <w:name w:val="Heading 5 Char"/>
    <w:basedOn w:val="710"/>
    <w:link w:val="22"/>
    <w:uiPriority w:val="9"/>
    <w:rPr>
      <w:rFonts w:ascii="Liberation Sans" w:hAnsi="Liberation Sans" w:eastAsia="Liberation Sans" w:cs="Liberation Sans"/>
      <w:b/>
      <w:bCs/>
      <w:sz w:val="24"/>
      <w:szCs w:val="24"/>
    </w:rPr>
  </w:style>
  <w:style w:type="paragraph" w:styleId="24">
    <w:name w:val="Heading 6"/>
    <w:basedOn w:val="690"/>
    <w:next w:val="690"/>
    <w:link w:val="25"/>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25">
    <w:name w:val="Heading 6 Char"/>
    <w:basedOn w:val="710"/>
    <w:link w:val="24"/>
    <w:uiPriority w:val="9"/>
    <w:rPr>
      <w:rFonts w:ascii="Liberation Sans" w:hAnsi="Liberation Sans" w:eastAsia="Liberation Sans" w:cs="Liberation Sans"/>
      <w:b/>
      <w:bCs/>
      <w:sz w:val="22"/>
      <w:szCs w:val="22"/>
    </w:rPr>
  </w:style>
  <w:style w:type="paragraph" w:styleId="26">
    <w:name w:val="Heading 7"/>
    <w:basedOn w:val="690"/>
    <w:next w:val="690"/>
    <w:link w:val="27"/>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27">
    <w:name w:val="Heading 7 Char"/>
    <w:basedOn w:val="710"/>
    <w:link w:val="26"/>
    <w:uiPriority w:val="9"/>
    <w:rPr>
      <w:rFonts w:ascii="Liberation Sans" w:hAnsi="Liberation Sans" w:eastAsia="Liberation Sans" w:cs="Liberation Sans"/>
      <w:b/>
      <w:bCs/>
      <w:i/>
      <w:iCs/>
      <w:sz w:val="22"/>
      <w:szCs w:val="22"/>
    </w:rPr>
  </w:style>
  <w:style w:type="paragraph" w:styleId="28">
    <w:name w:val="Heading 8"/>
    <w:basedOn w:val="690"/>
    <w:next w:val="690"/>
    <w:link w:val="29"/>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29">
    <w:name w:val="Heading 8 Char"/>
    <w:basedOn w:val="710"/>
    <w:link w:val="28"/>
    <w:uiPriority w:val="9"/>
    <w:rPr>
      <w:rFonts w:ascii="Liberation Sans" w:hAnsi="Liberation Sans" w:eastAsia="Liberation Sans" w:cs="Liberation Sans"/>
      <w:i/>
      <w:iCs/>
      <w:sz w:val="22"/>
      <w:szCs w:val="22"/>
    </w:rPr>
  </w:style>
  <w:style w:type="paragraph" w:styleId="30">
    <w:name w:val="Heading 9"/>
    <w:basedOn w:val="690"/>
    <w:next w:val="690"/>
    <w:link w:val="31"/>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31">
    <w:name w:val="Heading 9 Char"/>
    <w:basedOn w:val="710"/>
    <w:link w:val="30"/>
    <w:uiPriority w:val="9"/>
    <w:rPr>
      <w:rFonts w:ascii="Liberation Sans" w:hAnsi="Liberation Sans" w:eastAsia="Liberation Sans" w:cs="Liberation Sans"/>
      <w:i/>
      <w:iCs/>
      <w:sz w:val="21"/>
      <w:szCs w:val="21"/>
    </w:rPr>
  </w:style>
  <w:style w:type="paragraph" w:styleId="34">
    <w:name w:val="No Spacing"/>
    <w:uiPriority w:val="1"/>
    <w:qFormat/>
    <w:pPr>
      <w:spacing w:before="0" w:after="0" w:line="240" w:lineRule="auto"/>
    </w:pPr>
  </w:style>
  <w:style w:type="paragraph" w:styleId="35">
    <w:name w:val="Title"/>
    <w:basedOn w:val="690"/>
    <w:next w:val="690"/>
    <w:link w:val="36"/>
    <w:uiPriority w:val="10"/>
    <w:qFormat/>
    <w:pPr>
      <w:contextualSpacing/>
      <w:spacing w:before="300" w:after="200"/>
    </w:pPr>
    <w:rPr>
      <w:sz w:val="48"/>
      <w:szCs w:val="48"/>
    </w:rPr>
  </w:style>
  <w:style w:type="character" w:styleId="36">
    <w:name w:val="Title Char"/>
    <w:basedOn w:val="710"/>
    <w:link w:val="35"/>
    <w:uiPriority w:val="10"/>
    <w:rPr>
      <w:sz w:val="48"/>
      <w:szCs w:val="48"/>
    </w:rPr>
  </w:style>
  <w:style w:type="paragraph" w:styleId="37">
    <w:name w:val="Subtitle"/>
    <w:basedOn w:val="690"/>
    <w:next w:val="690"/>
    <w:link w:val="38"/>
    <w:uiPriority w:val="11"/>
    <w:qFormat/>
    <w:pPr>
      <w:spacing w:before="200" w:after="200"/>
    </w:pPr>
    <w:rPr>
      <w:sz w:val="24"/>
      <w:szCs w:val="24"/>
    </w:rPr>
  </w:style>
  <w:style w:type="character" w:styleId="38">
    <w:name w:val="Subtitle Char"/>
    <w:basedOn w:val="710"/>
    <w:link w:val="37"/>
    <w:uiPriority w:val="11"/>
    <w:rPr>
      <w:sz w:val="24"/>
      <w:szCs w:val="24"/>
    </w:rPr>
  </w:style>
  <w:style w:type="paragraph" w:styleId="39">
    <w:name w:val="Quote"/>
    <w:basedOn w:val="690"/>
    <w:next w:val="690"/>
    <w:link w:val="40"/>
    <w:uiPriority w:val="29"/>
    <w:qFormat/>
    <w:pPr>
      <w:ind w:left="720" w:right="720"/>
    </w:pPr>
    <w:rPr>
      <w:i/>
    </w:rPr>
  </w:style>
  <w:style w:type="character" w:styleId="40">
    <w:name w:val="Quote Char"/>
    <w:link w:val="39"/>
    <w:uiPriority w:val="29"/>
    <w:rPr>
      <w:i/>
    </w:rPr>
  </w:style>
  <w:style w:type="paragraph" w:styleId="41">
    <w:name w:val="Intense Quote"/>
    <w:basedOn w:val="690"/>
    <w:next w:val="690"/>
    <w:link w:val="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Intense Quote Char"/>
    <w:link w:val="41"/>
    <w:uiPriority w:val="30"/>
    <w:rPr>
      <w:i/>
    </w:rPr>
  </w:style>
  <w:style w:type="paragraph" w:styleId="43">
    <w:name w:val="Header"/>
    <w:basedOn w:val="690"/>
    <w:link w:val="44"/>
    <w:uiPriority w:val="99"/>
    <w:unhideWhenUsed/>
    <w:pPr>
      <w:spacing w:after="0" w:line="240" w:lineRule="auto"/>
      <w:tabs>
        <w:tab w:val="center" w:pos="7143" w:leader="none"/>
        <w:tab w:val="right" w:pos="14287" w:leader="none"/>
      </w:tabs>
    </w:pPr>
  </w:style>
  <w:style w:type="character" w:styleId="44">
    <w:name w:val="Header Char"/>
    <w:basedOn w:val="710"/>
    <w:link w:val="43"/>
    <w:uiPriority w:val="99"/>
  </w:style>
  <w:style w:type="paragraph" w:styleId="45">
    <w:name w:val="Footer"/>
    <w:basedOn w:val="690"/>
    <w:link w:val="46"/>
    <w:uiPriority w:val="99"/>
    <w:unhideWhenUsed/>
    <w:pPr>
      <w:spacing w:after="0" w:line="240" w:lineRule="auto"/>
      <w:tabs>
        <w:tab w:val="center" w:pos="7143" w:leader="none"/>
        <w:tab w:val="right" w:pos="14287" w:leader="none"/>
      </w:tabs>
    </w:pPr>
  </w:style>
  <w:style w:type="character" w:styleId="46">
    <w:name w:val="Footer Char"/>
    <w:basedOn w:val="710"/>
    <w:link w:val="45"/>
    <w:uiPriority w:val="99"/>
  </w:style>
  <w:style w:type="paragraph" w:styleId="47">
    <w:name w:val="Caption"/>
    <w:basedOn w:val="690"/>
    <w:next w:val="690"/>
    <w:link w:val="48"/>
    <w:uiPriority w:val="35"/>
    <w:semiHidden/>
    <w:unhideWhenUsed/>
    <w:qFormat/>
    <w:pPr>
      <w:spacing w:line="276" w:lineRule="auto"/>
    </w:pPr>
    <w:rPr>
      <w:b/>
      <w:bCs/>
      <w:color w:val="4f81bd" w:themeColor="accent1"/>
      <w:sz w:val="18"/>
      <w:szCs w:val="18"/>
    </w:rPr>
  </w:style>
  <w:style w:type="character" w:styleId="48">
    <w:name w:val="Caption Char"/>
    <w:basedOn w:val="710"/>
    <w:link w:val="47"/>
    <w:uiPriority w:val="35"/>
    <w:rPr>
      <w:b/>
      <w:bCs/>
      <w:color w:val="4f81bd" w:themeColor="accent1"/>
      <w:sz w:val="18"/>
      <w:szCs w:val="18"/>
    </w:rPr>
  </w:style>
  <w:style w:type="table" w:styleId="49">
    <w:name w:val="Table Grid"/>
    <w:basedOn w:val="3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50">
    <w:name w:val="Table Grid Light"/>
    <w:basedOn w:val="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1">
    <w:name w:val="Plain Table 1"/>
    <w:basedOn w:val="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52">
    <w:name w:val="Plain Table 2"/>
    <w:basedOn w:val="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53">
    <w:name w:val="Plain Table 3"/>
    <w:basedOn w:val="3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4">
    <w:name w:val="Plain Table 4"/>
    <w:basedOn w:val="3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5">
    <w:name w:val="Plain Table 5"/>
    <w:basedOn w:val="3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6">
    <w:name w:val="Grid Table 1 Light"/>
    <w:basedOn w:val="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7">
    <w:name w:val="Grid Table 1 Light - Accent 1"/>
    <w:basedOn w:val="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8">
    <w:name w:val="Grid Table 1 Light - Accent 2"/>
    <w:basedOn w:val="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9">
    <w:name w:val="Grid Table 1 Light - Accent 3"/>
    <w:basedOn w:val="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0">
    <w:name w:val="Grid Table 1 Light - Accent 4"/>
    <w:basedOn w:val="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1">
    <w:name w:val="Grid Table 1 Light - Accent 5"/>
    <w:basedOn w:val="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2">
    <w:name w:val="Grid Table 1 Light - Accent 6"/>
    <w:basedOn w:val="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3">
    <w:name w:val="Grid Table 2"/>
    <w:basedOn w:val="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4">
    <w:name w:val="Grid Table 2 - Accent 1"/>
    <w:basedOn w:val="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5">
    <w:name w:val="Grid Table 2 - Accent 2"/>
    <w:basedOn w:val="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6">
    <w:name w:val="Grid Table 2 - Accent 3"/>
    <w:basedOn w:val="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7">
    <w:name w:val="Grid Table 2 - Accent 4"/>
    <w:basedOn w:val="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
    <w:name w:val="Grid Table 2 - Accent 5"/>
    <w:basedOn w:val="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
    <w:name w:val="Grid Table 2 - Accent 6"/>
    <w:basedOn w:val="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
    <w:name w:val="Grid Table 3"/>
    <w:basedOn w:val="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1"/>
    <w:basedOn w:val="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2"/>
    <w:basedOn w:val="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3"/>
    <w:basedOn w:val="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4"/>
    <w:basedOn w:val="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5"/>
    <w:basedOn w:val="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3 - Accent 6"/>
    <w:basedOn w:val="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
    <w:name w:val="Grid Table 4"/>
    <w:basedOn w:val="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
    <w:name w:val="Grid Table 4 - Accent 1"/>
    <w:basedOn w:val="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ce6f1" w:themeFill="accent1" w:themeFillTint="32"/>
      </w:tcPr>
    </w:tblStylePr>
    <w:tblStylePr w:type="band1Vert">
      <w:rPr>
        <w:rFonts w:ascii="Liberation Sans" w:hAnsi="Liberation Sans"/>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
    <w:name w:val="Grid Table 4 - Accent 2"/>
    <w:basedOn w:val="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
    <w:name w:val="Grid Table 4 - Accent 3"/>
    <w:basedOn w:val="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
    <w:name w:val="Grid Table 4 - Accent 4"/>
    <w:basedOn w:val="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
    <w:name w:val="Grid Table 4 - Accent 5"/>
    <w:basedOn w:val="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
    <w:name w:val="Grid Table 4 - Accent 6"/>
    <w:basedOn w:val="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
    <w:name w:val="Grid Table 5 Dark"/>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85">
    <w:name w:val="Grid Table 5 Dark- Accent 1"/>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Liberation Sans" w:hAnsi="Liberation Sans"/>
        <w:b/>
        <w:color w:val="ffffff"/>
        <w:sz w:val="22"/>
      </w:rPr>
      <w:tcPr>
        <w:shd w:val="clear" w:color="ffffff" w:themeColor="accent1" w:fill="4f81bd" w:themeFill="accent1"/>
      </w:tcPr>
    </w:tblStylePr>
    <w:tblStylePr w:type="firstRow">
      <w:rPr>
        <w:rFonts w:ascii="Liberation Sans" w:hAnsi="Liberation Sans"/>
        <w:b/>
        <w:color w:val="ffffff"/>
        <w:sz w:val="22"/>
      </w:rPr>
      <w:tcPr>
        <w:shd w:val="clear" w:color="ffffff" w:themeColor="accent1" w:fill="4f81bd" w:themeFill="accent1"/>
      </w:tcPr>
    </w:tblStylePr>
    <w:tblStylePr w:type="lastCol">
      <w:rPr>
        <w:rFonts w:ascii="Liberation Sans" w:hAnsi="Liberation Sans"/>
        <w:b/>
        <w:color w:val="ffffff"/>
        <w:sz w:val="22"/>
      </w:rPr>
      <w:tcPr>
        <w:shd w:val="clear" w:color="ffffff" w:themeColor="accent1" w:fill="4f81bd" w:themeFill="accent1"/>
      </w:tcPr>
    </w:tblStylePr>
    <w:tblStylePr w:type="lastRow">
      <w:rPr>
        <w:rFonts w:ascii="Liberation Sans" w:hAnsi="Liberation Sans"/>
        <w:b/>
        <w:color w:val="ffffff"/>
        <w:sz w:val="22"/>
      </w:rPr>
      <w:tcPr>
        <w:shd w:val="clear" w:color="ffffff" w:themeColor="accent1" w:fill="4f81bd" w:themeFill="accent1"/>
        <w:tcBorders>
          <w:top w:val="single" w:color="000000" w:themeColor="light1" w:sz="4" w:space="0"/>
        </w:tcBorders>
      </w:tcPr>
    </w:tblStylePr>
  </w:style>
  <w:style w:type="table" w:styleId="86">
    <w:name w:val="Grid Table 5 Dark - Accent 2"/>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Liberation Sans" w:hAnsi="Liberation Sans"/>
        <w:b/>
        <w:color w:val="ffffff"/>
        <w:sz w:val="22"/>
      </w:rPr>
      <w:tcPr>
        <w:shd w:val="clear" w:color="ffffff" w:themeColor="accent2" w:fill="c0504d" w:themeFill="accent2"/>
      </w:tcPr>
    </w:tblStylePr>
    <w:tblStylePr w:type="firstRow">
      <w:rPr>
        <w:rFonts w:ascii="Liberation Sans" w:hAnsi="Liberation Sans"/>
        <w:b/>
        <w:color w:val="ffffff"/>
        <w:sz w:val="22"/>
      </w:rPr>
      <w:tcPr>
        <w:shd w:val="clear" w:color="ffffff" w:themeColor="accent2" w:fill="c0504d" w:themeFill="accent2"/>
      </w:tcPr>
    </w:tblStylePr>
    <w:tblStylePr w:type="lastCol">
      <w:rPr>
        <w:rFonts w:ascii="Liberation Sans" w:hAnsi="Liberation Sans"/>
        <w:b/>
        <w:color w:val="ffffff"/>
        <w:sz w:val="22"/>
      </w:rPr>
      <w:tcPr>
        <w:shd w:val="clear" w:color="ffffff" w:themeColor="accent2" w:fill="c0504d" w:themeFill="accent2"/>
      </w:tcPr>
    </w:tblStylePr>
    <w:tblStylePr w:type="lastRow">
      <w:rPr>
        <w:rFonts w:ascii="Liberation Sans" w:hAnsi="Liberation Sans"/>
        <w:b/>
        <w:color w:val="ffffff"/>
        <w:sz w:val="22"/>
      </w:rPr>
      <w:tcPr>
        <w:shd w:val="clear" w:color="ffffff" w:themeColor="accent2" w:fill="c0504d" w:themeFill="accent2"/>
        <w:tcBorders>
          <w:top w:val="single" w:color="000000" w:themeColor="light1" w:sz="4" w:space="0"/>
        </w:tcBorders>
      </w:tcPr>
    </w:tblStylePr>
  </w:style>
  <w:style w:type="table" w:styleId="87">
    <w:name w:val="Grid Table 5 Dark - Accent 3"/>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Liberation Sans" w:hAnsi="Liberation Sans"/>
        <w:b/>
        <w:color w:val="ffffff"/>
        <w:sz w:val="22"/>
      </w:rPr>
      <w:tcPr>
        <w:shd w:val="clear" w:color="ffffff" w:themeColor="accent3" w:fill="9bbb59" w:themeFill="accent3"/>
      </w:tcPr>
    </w:tblStylePr>
    <w:tblStylePr w:type="firstRow">
      <w:rPr>
        <w:rFonts w:ascii="Liberation Sans" w:hAnsi="Liberation Sans"/>
        <w:b/>
        <w:color w:val="ffffff"/>
        <w:sz w:val="22"/>
      </w:rPr>
      <w:tcPr>
        <w:shd w:val="clear" w:color="ffffff" w:themeColor="accent3" w:fill="9bbb59" w:themeFill="accent3"/>
      </w:tcPr>
    </w:tblStylePr>
    <w:tblStylePr w:type="lastCol">
      <w:rPr>
        <w:rFonts w:ascii="Liberation Sans" w:hAnsi="Liberation Sans"/>
        <w:b/>
        <w:color w:val="ffffff"/>
        <w:sz w:val="22"/>
      </w:rPr>
      <w:tcPr>
        <w:shd w:val="clear" w:color="ffffff" w:themeColor="accent3" w:fill="9bbb59" w:themeFill="accent3"/>
      </w:tcPr>
    </w:tblStylePr>
    <w:tblStylePr w:type="lastRow">
      <w:rPr>
        <w:rFonts w:ascii="Liberation Sans" w:hAnsi="Liberation Sans"/>
        <w:b/>
        <w:color w:val="ffffff"/>
        <w:sz w:val="22"/>
      </w:rPr>
      <w:tcPr>
        <w:shd w:val="clear" w:color="ffffff" w:themeColor="accent3" w:fill="9bbb59" w:themeFill="accent3"/>
        <w:tcBorders>
          <w:top w:val="single" w:color="000000" w:themeColor="light1" w:sz="4" w:space="0"/>
        </w:tcBorders>
      </w:tcPr>
    </w:tblStylePr>
  </w:style>
  <w:style w:type="table" w:styleId="88">
    <w:name w:val="Grid Table 5 Dark- Accent 4"/>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Liberation Sans" w:hAnsi="Liberation Sans"/>
        <w:b/>
        <w:color w:val="ffffff"/>
        <w:sz w:val="22"/>
      </w:rPr>
      <w:tcPr>
        <w:shd w:val="clear" w:color="ffffff" w:themeColor="accent4" w:fill="8064a2" w:themeFill="accent4"/>
      </w:tcPr>
    </w:tblStylePr>
    <w:tblStylePr w:type="firstRow">
      <w:rPr>
        <w:rFonts w:ascii="Liberation Sans" w:hAnsi="Liberation Sans"/>
        <w:b/>
        <w:color w:val="ffffff"/>
        <w:sz w:val="22"/>
      </w:rPr>
      <w:tcPr>
        <w:shd w:val="clear" w:color="ffffff" w:themeColor="accent4" w:fill="8064a2" w:themeFill="accent4"/>
      </w:tcPr>
    </w:tblStylePr>
    <w:tblStylePr w:type="lastCol">
      <w:rPr>
        <w:rFonts w:ascii="Liberation Sans" w:hAnsi="Liberation Sans"/>
        <w:b/>
        <w:color w:val="ffffff"/>
        <w:sz w:val="22"/>
      </w:rPr>
      <w:tcPr>
        <w:shd w:val="clear" w:color="ffffff" w:themeColor="accent4" w:fill="8064a2" w:themeFill="accent4"/>
      </w:tcPr>
    </w:tblStylePr>
    <w:tblStylePr w:type="lastRow">
      <w:rPr>
        <w:rFonts w:ascii="Liberation Sans" w:hAnsi="Liberation Sans"/>
        <w:b/>
        <w:color w:val="ffffff"/>
        <w:sz w:val="22"/>
      </w:rPr>
      <w:tcPr>
        <w:shd w:val="clear" w:color="ffffff" w:themeColor="accent4" w:fill="8064a2" w:themeFill="accent4"/>
        <w:tcBorders>
          <w:top w:val="single" w:color="000000" w:themeColor="light1" w:sz="4" w:space="0"/>
        </w:tcBorders>
      </w:tcPr>
    </w:tblStylePr>
  </w:style>
  <w:style w:type="table" w:styleId="89">
    <w:name w:val="Grid Table 5 Dark - Accent 5"/>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Liberation Sans" w:hAnsi="Liberation Sans"/>
        <w:b/>
        <w:color w:val="ffffff"/>
        <w:sz w:val="22"/>
      </w:rPr>
      <w:tcPr>
        <w:shd w:val="clear" w:color="ffffff" w:themeColor="accent5" w:fill="4bacc6" w:themeFill="accent5"/>
      </w:tcPr>
    </w:tblStylePr>
    <w:tblStylePr w:type="firstRow">
      <w:rPr>
        <w:rFonts w:ascii="Liberation Sans" w:hAnsi="Liberation Sans"/>
        <w:b/>
        <w:color w:val="ffffff"/>
        <w:sz w:val="22"/>
      </w:rPr>
      <w:tcPr>
        <w:shd w:val="clear" w:color="ffffff" w:themeColor="accent5" w:fill="4bacc6" w:themeFill="accent5"/>
      </w:tcPr>
    </w:tblStylePr>
    <w:tblStylePr w:type="lastCol">
      <w:rPr>
        <w:rFonts w:ascii="Liberation Sans" w:hAnsi="Liberation Sans"/>
        <w:b/>
        <w:color w:val="ffffff"/>
        <w:sz w:val="22"/>
      </w:rPr>
      <w:tcPr>
        <w:shd w:val="clear" w:color="ffffff" w:themeColor="accent5" w:fill="4bacc6" w:themeFill="accent5"/>
      </w:tcPr>
    </w:tblStylePr>
    <w:tblStylePr w:type="lastRow">
      <w:rPr>
        <w:rFonts w:ascii="Liberation Sans" w:hAnsi="Liberation Sans"/>
        <w:b/>
        <w:color w:val="ffffff"/>
        <w:sz w:val="22"/>
      </w:rPr>
      <w:tcPr>
        <w:shd w:val="clear" w:color="ffffff" w:themeColor="accent5" w:fill="4bacc6" w:themeFill="accent5"/>
        <w:tcBorders>
          <w:top w:val="single" w:color="000000" w:themeColor="light1" w:sz="4" w:space="0"/>
        </w:tcBorders>
      </w:tcPr>
    </w:tblStylePr>
  </w:style>
  <w:style w:type="table" w:styleId="90">
    <w:name w:val="Grid Table 5 Dark - Accent 6"/>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Liberation Sans" w:hAnsi="Liberation Sans"/>
        <w:b/>
        <w:color w:val="ffffff"/>
        <w:sz w:val="22"/>
      </w:rPr>
      <w:tcPr>
        <w:shd w:val="clear" w:color="ffffff" w:themeColor="accent6" w:fill="f79646" w:themeFill="accent6"/>
      </w:tcPr>
    </w:tblStylePr>
    <w:tblStylePr w:type="firstRow">
      <w:rPr>
        <w:rFonts w:ascii="Liberation Sans" w:hAnsi="Liberation Sans"/>
        <w:b/>
        <w:color w:val="ffffff"/>
        <w:sz w:val="22"/>
      </w:rPr>
      <w:tcPr>
        <w:shd w:val="clear" w:color="ffffff" w:themeColor="accent6" w:fill="f79646" w:themeFill="accent6"/>
      </w:tcPr>
    </w:tblStylePr>
    <w:tblStylePr w:type="lastCol">
      <w:rPr>
        <w:rFonts w:ascii="Liberation Sans" w:hAnsi="Liberation Sans"/>
        <w:b/>
        <w:color w:val="ffffff"/>
        <w:sz w:val="22"/>
      </w:rPr>
      <w:tcPr>
        <w:shd w:val="clear" w:color="ffffff" w:themeColor="accent6" w:fill="f79646" w:themeFill="accent6"/>
      </w:tcPr>
    </w:tblStylePr>
    <w:tblStylePr w:type="lastRow">
      <w:rPr>
        <w:rFonts w:ascii="Liberation Sans" w:hAnsi="Liberation Sans"/>
        <w:b/>
        <w:color w:val="ffffff"/>
        <w:sz w:val="22"/>
      </w:rPr>
      <w:tcPr>
        <w:shd w:val="clear" w:color="ffffff" w:themeColor="accent6" w:fill="f79646" w:themeFill="accent6"/>
        <w:tcBorders>
          <w:top w:val="single" w:color="000000" w:themeColor="light1" w:sz="4" w:space="0"/>
        </w:tcBorders>
      </w:tcPr>
    </w:tblStylePr>
  </w:style>
  <w:style w:type="table" w:styleId="91">
    <w:name w:val="Grid Table 6 Colorful"/>
    <w:basedOn w:val="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92">
    <w:name w:val="Grid Table 6 Colorful - Accent 1"/>
    <w:basedOn w:val="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Liberation Sans" w:hAnsi="Liberation Sans"/>
        <w:color w:val="404040" w:themeColor="accent1" w:themeTint="80" w:themeShade="95"/>
        <w:sz w:val="22"/>
      </w:rPr>
    </w:tblStylePr>
  </w:style>
  <w:style w:type="table" w:styleId="93">
    <w:name w:val="Grid Table 6 Colorful - Accent 2"/>
    <w:basedOn w:val="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Liberation Sans" w:hAnsi="Liberation Sans"/>
        <w:color w:val="404040" w:themeColor="accent2" w:themeTint="97" w:themeShade="95"/>
        <w:sz w:val="22"/>
      </w:rPr>
    </w:tblStylePr>
  </w:style>
  <w:style w:type="table" w:styleId="94">
    <w:name w:val="Grid Table 6 Colorful - Accent 3"/>
    <w:basedOn w:val="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Liberation Sans" w:hAnsi="Liberation Sans"/>
        <w:color w:val="404040" w:themeColor="accent3" w:themeTint="FE" w:themeShade="95"/>
        <w:sz w:val="22"/>
      </w:rPr>
    </w:tblStylePr>
  </w:style>
  <w:style w:type="table" w:styleId="95">
    <w:name w:val="Grid Table 6 Colorful - Accent 4"/>
    <w:basedOn w:val="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Liberation Sans" w:hAnsi="Liberation Sans"/>
        <w:color w:val="404040" w:themeColor="accent4" w:themeTint="9A" w:themeShade="95"/>
        <w:sz w:val="22"/>
      </w:rPr>
    </w:tblStylePr>
  </w:style>
  <w:style w:type="table" w:styleId="96">
    <w:name w:val="Grid Table 6 Colorful - Accent 5"/>
    <w:basedOn w:val="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7">
    <w:name w:val="Grid Table 6 Colorful - Accent 6"/>
    <w:basedOn w:val="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8">
    <w:name w:val="Grid Table 7 Colorful"/>
    <w:basedOn w:val="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Liberation Sans" w:hAnsi="Liberation Sans"/>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9">
    <w:name w:val="Grid Table 7 Colorful - Accent 1"/>
    <w:basedOn w:val="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3e70a3" w:themeColor="accent1" w:themeTint="80" w:themeShade="95"/>
        <w:sz w:val="22"/>
      </w:rPr>
    </w:tblStylePr>
    <w:tblStylePr w:type="firstCol">
      <w:rPr>
        <w:rFonts w:ascii="Liberation Sans" w:hAnsi="Liberation Sans"/>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Liberation Sans" w:hAnsi="Liberation Sans"/>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Liberation Sans" w:hAnsi="Liberation Sans"/>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Liberation Sans" w:hAnsi="Liberation Sans"/>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100">
    <w:name w:val="Grid Table 7 Colorful - Accent 2"/>
    <w:basedOn w:val="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Liberation Sans" w:hAnsi="Liberation Sans"/>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Liberation Sans" w:hAnsi="Liberation Sans"/>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Liberation Sans" w:hAnsi="Liberation Sans"/>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1">
    <w:name w:val="Grid Table 7 Colorful - Accent 3"/>
    <w:basedOn w:val="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5c702f" w:themeColor="accent3" w:themeTint="FE" w:themeShade="95"/>
        <w:sz w:val="22"/>
      </w:rPr>
    </w:tblStylePr>
    <w:tblStylePr w:type="firstCol">
      <w:rPr>
        <w:rFonts w:ascii="Liberation Sans" w:hAnsi="Liberation Sans"/>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Liberation Sans" w:hAnsi="Liberation Sans"/>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Liberation Sans" w:hAnsi="Liberation Sans"/>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Liberation Sans" w:hAnsi="Liberation Sans"/>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2">
    <w:name w:val="Grid Table 7 Colorful - Accent 4"/>
    <w:basedOn w:val="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Liberation Sans" w:hAnsi="Liberation Sans"/>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Liberation Sans" w:hAnsi="Liberation Sans"/>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Liberation Sans" w:hAnsi="Liberation Sans"/>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3">
    <w:name w:val="Grid Table 7 Colorful - Accent 5"/>
    <w:basedOn w:val="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266777" w:themeColor="accent5" w:themeShade="95"/>
        <w:sz w:val="22"/>
      </w:rPr>
    </w:tblStylePr>
    <w:tblStylePr w:type="firstCol">
      <w:rPr>
        <w:rFonts w:ascii="Liberation Sans" w:hAnsi="Liberation Sans"/>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Liberation Sans" w:hAnsi="Liberation Sans"/>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Liberation Sans" w:hAnsi="Liberation Sans"/>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Liberation Sans" w:hAnsi="Liberation Sans"/>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4">
    <w:name w:val="Grid Table 7 Colorful - Accent 6"/>
    <w:basedOn w:val="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b05307" w:themeColor="accent6" w:themeShade="95"/>
        <w:sz w:val="22"/>
      </w:rPr>
    </w:tblStylePr>
    <w:tblStylePr w:type="firstCol">
      <w:rPr>
        <w:rFonts w:ascii="Liberation Sans" w:hAnsi="Liberation Sans"/>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Liberation Sans" w:hAnsi="Liberation Sans"/>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Liberation Sans" w:hAnsi="Liberation Sans"/>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Liberation Sans" w:hAnsi="Liberation Sans"/>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5">
    <w:name w:val="List Table 1 Light"/>
    <w:basedOn w:val="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
    <w:name w:val="List Table 1 Light - Accent 1"/>
    <w:basedOn w:val="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
    <w:name w:val="List Table 1 Light - Accent 2"/>
    <w:basedOn w:val="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
    <w:name w:val="List Table 1 Light - Accent 3"/>
    <w:basedOn w:val="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
    <w:name w:val="List Table 1 Light - Accent 4"/>
    <w:basedOn w:val="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
    <w:name w:val="List Table 1 Light - Accent 5"/>
    <w:basedOn w:val="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
    <w:name w:val="List Table 1 Light - Accent 6"/>
    <w:basedOn w:val="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
    <w:name w:val="List Table 2"/>
    <w:basedOn w:val="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
    <w:name w:val="List Table 2 - Accent 1"/>
    <w:basedOn w:val="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
    <w:name w:val="List Table 2 - Accent 2"/>
    <w:basedOn w:val="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
    <w:name w:val="List Table 2 - Accent 3"/>
    <w:basedOn w:val="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
    <w:name w:val="List Table 2 - Accent 4"/>
    <w:basedOn w:val="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7">
    <w:name w:val="List Table 2 - Accent 5"/>
    <w:basedOn w:val="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
    <w:name w:val="List Table 2 - Accent 6"/>
    <w:basedOn w:val="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9">
    <w:name w:val="List Table 3"/>
    <w:basedOn w:val="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
    <w:name w:val="List Table 3 - Accent 1"/>
    <w:basedOn w:val="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
    <w:name w:val="List Table 3 - Accent 2"/>
    <w:basedOn w:val="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2">
    <w:name w:val="List Table 3 - Accent 3"/>
    <w:basedOn w:val="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3">
    <w:name w:val="List Table 3 - Accent 4"/>
    <w:basedOn w:val="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
    <w:name w:val="List Table 3 - Accent 5"/>
    <w:basedOn w:val="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5">
    <w:name w:val="List Table 3 - Accent 6"/>
    <w:basedOn w:val="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
    <w:name w:val="List Table 4"/>
    <w:basedOn w:val="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
    <w:name w:val="List Table 4 - Accent 1"/>
    <w:basedOn w:val="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
    <w:name w:val="List Table 4 - Accent 2"/>
    <w:basedOn w:val="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
    <w:name w:val="List Table 4 - Accent 3"/>
    <w:basedOn w:val="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0">
    <w:name w:val="List Table 4 - Accent 4"/>
    <w:basedOn w:val="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1">
    <w:name w:val="List Table 4 - Accent 5"/>
    <w:basedOn w:val="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2">
    <w:name w:val="List Table 4 - Accent 6"/>
    <w:basedOn w:val="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3">
    <w:name w:val="List Table 5 Dark"/>
    <w:basedOn w:val="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4">
    <w:name w:val="List Table 5 Dark - Accent 1"/>
    <w:basedOn w:val="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5">
    <w:name w:val="List Table 5 Dark - Accent 2"/>
    <w:basedOn w:val="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6">
    <w:name w:val="List Table 5 Dark - Accent 3"/>
    <w:basedOn w:val="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7">
    <w:name w:val="List Table 5 Dark - Accent 4"/>
    <w:basedOn w:val="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8">
    <w:name w:val="List Table 5 Dark - Accent 5"/>
    <w:basedOn w:val="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9">
    <w:name w:val="List Table 5 Dark - Accent 6"/>
    <w:basedOn w:val="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40">
    <w:name w:val="List Table 6 Colorful"/>
    <w:basedOn w:val="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1">
    <w:name w:val="List Table 6 Colorful - Accent 1"/>
    <w:basedOn w:val="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
    <w:name w:val="List Table 6 Colorful - Accent 2"/>
    <w:basedOn w:val="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3">
    <w:name w:val="List Table 6 Colorful - Accent 3"/>
    <w:basedOn w:val="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4">
    <w:name w:val="List Table 6 Colorful - Accent 4"/>
    <w:basedOn w:val="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5">
    <w:name w:val="List Table 6 Colorful - Accent 5"/>
    <w:basedOn w:val="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6">
    <w:name w:val="List Table 6 Colorful - Accent 6"/>
    <w:basedOn w:val="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7">
    <w:name w:val="List Table 7 Colorful"/>
    <w:basedOn w:val="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Liberation Sans" w:hAnsi="Liberation Sans"/>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Liberation Sans" w:hAnsi="Liberation Sans"/>
        <w:color w:val="4a4a4a" w:themeColor="text1" w:themeTint="80" w:themeShade="95"/>
        <w:sz w:val="22"/>
      </w:rPr>
    </w:tblStylePr>
  </w:style>
  <w:style w:type="table" w:styleId="148">
    <w:name w:val="List Table 7 Colorful - Accent 1"/>
    <w:basedOn w:val="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2a4b71" w:themeColor="accent1" w:themeShade="95"/>
        <w:sz w:val="22"/>
      </w:rPr>
    </w:tblStylePr>
    <w:tblStylePr w:type="firstCol">
      <w:rPr>
        <w:rFonts w:ascii="Liberation Sans" w:hAnsi="Liberation Sans"/>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Liberation Sans" w:hAnsi="Liberation Sans"/>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Liberation Sans" w:hAnsi="Liberation Sans"/>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Liberation Sans" w:hAnsi="Liberation Sans"/>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Liberation Sans" w:hAnsi="Liberation Sans"/>
        <w:color w:val="2a4b71" w:themeColor="accent1" w:themeShade="95"/>
        <w:sz w:val="22"/>
      </w:rPr>
    </w:tblStylePr>
  </w:style>
  <w:style w:type="table" w:styleId="149">
    <w:name w:val="List Table 7 Colorful - Accent 2"/>
    <w:basedOn w:val="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Liberation Sans" w:hAnsi="Liberation Sans"/>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Liberation Sans" w:hAnsi="Liberation Sans"/>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Liberation Sans" w:hAnsi="Liberation Sans"/>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Liberation Sans" w:hAnsi="Liberation Sans"/>
        <w:color w:val="9c3a37" w:themeColor="accent2" w:themeTint="97" w:themeShade="95"/>
        <w:sz w:val="22"/>
      </w:rPr>
    </w:tblStylePr>
  </w:style>
  <w:style w:type="table" w:styleId="150">
    <w:name w:val="List Table 7 Colorful - Accent 3"/>
    <w:basedOn w:val="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7c983f" w:themeColor="accent3" w:themeTint="98" w:themeShade="95"/>
        <w:sz w:val="22"/>
      </w:rPr>
    </w:tblStylePr>
    <w:tblStylePr w:type="firstCol">
      <w:rPr>
        <w:rFonts w:ascii="Liberation Sans" w:hAnsi="Liberation Sans"/>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Liberation Sans" w:hAnsi="Liberation Sans"/>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Liberation Sans" w:hAnsi="Liberation Sans"/>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Liberation Sans" w:hAnsi="Liberation Sans"/>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Liberation Sans" w:hAnsi="Liberation Sans"/>
        <w:color w:val="7c983f" w:themeColor="accent3" w:themeTint="98" w:themeShade="95"/>
        <w:sz w:val="22"/>
      </w:rPr>
    </w:tblStylePr>
  </w:style>
  <w:style w:type="table" w:styleId="151">
    <w:name w:val="List Table 7 Colorful - Accent 4"/>
    <w:basedOn w:val="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Liberation Sans" w:hAnsi="Liberation Sans"/>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Liberation Sans" w:hAnsi="Liberation Sans"/>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Liberation Sans" w:hAnsi="Liberation Sans"/>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Liberation Sans" w:hAnsi="Liberation Sans"/>
        <w:color w:val="664f82" w:themeColor="accent4" w:themeTint="9A" w:themeShade="95"/>
        <w:sz w:val="22"/>
      </w:rPr>
    </w:tblStylePr>
  </w:style>
  <w:style w:type="table" w:styleId="152">
    <w:name w:val="List Table 7 Colorful - Accent 5"/>
    <w:basedOn w:val="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338aa0" w:themeColor="accent5" w:themeTint="9A" w:themeShade="95"/>
        <w:sz w:val="22"/>
      </w:rPr>
    </w:tblStylePr>
    <w:tblStylePr w:type="firstCol">
      <w:rPr>
        <w:rFonts w:ascii="Liberation Sans" w:hAnsi="Liberation Sans"/>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Liberation Sans" w:hAnsi="Liberation Sans"/>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Liberation Sans" w:hAnsi="Liberation Sans"/>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Liberation Sans" w:hAnsi="Liberation Sans"/>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Liberation Sans" w:hAnsi="Liberation Sans"/>
        <w:color w:val="338aa0" w:themeColor="accent5" w:themeTint="9A" w:themeShade="95"/>
        <w:sz w:val="22"/>
      </w:rPr>
    </w:tblStylePr>
  </w:style>
  <w:style w:type="table" w:styleId="153">
    <w:name w:val="List Table 7 Colorful - Accent 6"/>
    <w:basedOn w:val="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d9680c" w:themeColor="accent6" w:themeTint="98" w:themeShade="95"/>
        <w:sz w:val="22"/>
      </w:rPr>
    </w:tblStylePr>
    <w:tblStylePr w:type="firstCol">
      <w:rPr>
        <w:rFonts w:ascii="Liberation Sans" w:hAnsi="Liberation Sans"/>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Liberation Sans" w:hAnsi="Liberation Sans"/>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Liberation Sans" w:hAnsi="Liberation Sans"/>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Liberation Sans" w:hAnsi="Liberation Sans"/>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Liberation Sans" w:hAnsi="Liberation Sans"/>
        <w:color w:val="d9680c" w:themeColor="accent6" w:themeTint="98" w:themeShade="95"/>
        <w:sz w:val="22"/>
      </w:rPr>
    </w:tblStylePr>
  </w:style>
  <w:style w:type="table" w:styleId="154">
    <w:name w:val="Lined - Accent"/>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55">
    <w:name w:val="Lined - Accent 1"/>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56">
    <w:name w:val="Lined - Accent 2"/>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57">
    <w:name w:val="Lined - Accent 3"/>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58">
    <w:name w:val="Lined - Accent 4"/>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59">
    <w:name w:val="Lined - Accent 5"/>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60">
    <w:name w:val="Lined - Accent 6"/>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61">
    <w:name w:val="Bordered &amp; Lined - Accent"/>
    <w:basedOn w:val="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62">
    <w:name w:val="Bordered &amp; Lined - Accent 1"/>
    <w:basedOn w:val="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63">
    <w:name w:val="Bordered &amp; Lined - Accent 2"/>
    <w:basedOn w:val="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64">
    <w:name w:val="Bordered &amp; Lined - Accent 3"/>
    <w:basedOn w:val="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65">
    <w:name w:val="Bordered &amp; Lined - Accent 4"/>
    <w:basedOn w:val="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66">
    <w:name w:val="Bordered &amp; Lined - Accent 5"/>
    <w:basedOn w:val="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67">
    <w:name w:val="Bordered &amp; Lined - Accent 6"/>
    <w:basedOn w:val="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68">
    <w:name w:val="Bordered"/>
    <w:basedOn w:val="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169">
    <w:name w:val="Bordered - Accent 1"/>
    <w:basedOn w:val="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170">
    <w:name w:val="Bordered - Accent 2"/>
    <w:basedOn w:val="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171">
    <w:name w:val="Bordered - Accent 3"/>
    <w:basedOn w:val="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172">
    <w:name w:val="Bordered - Accent 4"/>
    <w:basedOn w:val="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173">
    <w:name w:val="Bordered - Accent 5"/>
    <w:basedOn w:val="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174">
    <w:name w:val="Bordered - Accent 6"/>
    <w:basedOn w:val="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character" w:styleId="175">
    <w:name w:val="Hyperlink"/>
    <w:uiPriority w:val="99"/>
    <w:unhideWhenUsed/>
    <w:rPr>
      <w:color w:val="0000ff" w:themeColor="hyperlink"/>
      <w:u w:val="single"/>
    </w:rPr>
  </w:style>
  <w:style w:type="paragraph" w:styleId="176">
    <w:name w:val="footnote text"/>
    <w:basedOn w:val="690"/>
    <w:link w:val="177"/>
    <w:uiPriority w:val="99"/>
    <w:semiHidden/>
    <w:unhideWhenUsed/>
    <w:pPr>
      <w:spacing w:after="40" w:line="240" w:lineRule="auto"/>
    </w:pPr>
    <w:rPr>
      <w:sz w:val="18"/>
    </w:rPr>
  </w:style>
  <w:style w:type="character" w:styleId="177">
    <w:name w:val="Footnote Text Char"/>
    <w:link w:val="176"/>
    <w:uiPriority w:val="99"/>
    <w:rPr>
      <w:sz w:val="18"/>
    </w:rPr>
  </w:style>
  <w:style w:type="character" w:styleId="178">
    <w:name w:val="footnote reference"/>
    <w:basedOn w:val="710"/>
    <w:uiPriority w:val="99"/>
    <w:unhideWhenUsed/>
    <w:rPr>
      <w:vertAlign w:val="superscript"/>
    </w:rPr>
  </w:style>
  <w:style w:type="paragraph" w:styleId="179">
    <w:name w:val="endnote text"/>
    <w:basedOn w:val="690"/>
    <w:link w:val="180"/>
    <w:uiPriority w:val="99"/>
    <w:semiHidden/>
    <w:unhideWhenUsed/>
    <w:pPr>
      <w:spacing w:after="0" w:line="240" w:lineRule="auto"/>
    </w:pPr>
    <w:rPr>
      <w:sz w:val="20"/>
    </w:rPr>
  </w:style>
  <w:style w:type="character" w:styleId="180">
    <w:name w:val="Endnote Text Char"/>
    <w:link w:val="179"/>
    <w:uiPriority w:val="99"/>
    <w:rPr>
      <w:sz w:val="20"/>
    </w:rPr>
  </w:style>
  <w:style w:type="character" w:styleId="181">
    <w:name w:val="endnote reference"/>
    <w:basedOn w:val="710"/>
    <w:uiPriority w:val="99"/>
    <w:semiHidden/>
    <w:unhideWhenUsed/>
    <w:rPr>
      <w:vertAlign w:val="superscript"/>
    </w:rPr>
  </w:style>
  <w:style w:type="paragraph" w:styleId="182">
    <w:name w:val="toc 1"/>
    <w:basedOn w:val="690"/>
    <w:next w:val="690"/>
    <w:uiPriority w:val="39"/>
    <w:unhideWhenUsed/>
    <w:pPr>
      <w:ind w:left="0" w:right="0" w:firstLine="0"/>
      <w:spacing w:after="57"/>
    </w:pPr>
  </w:style>
  <w:style w:type="paragraph" w:styleId="183">
    <w:name w:val="toc 2"/>
    <w:basedOn w:val="690"/>
    <w:next w:val="690"/>
    <w:uiPriority w:val="39"/>
    <w:unhideWhenUsed/>
    <w:pPr>
      <w:ind w:left="283" w:right="0" w:firstLine="0"/>
      <w:spacing w:after="57"/>
    </w:pPr>
  </w:style>
  <w:style w:type="paragraph" w:styleId="184">
    <w:name w:val="toc 3"/>
    <w:basedOn w:val="690"/>
    <w:next w:val="690"/>
    <w:uiPriority w:val="39"/>
    <w:unhideWhenUsed/>
    <w:pPr>
      <w:ind w:left="567" w:right="0" w:firstLine="0"/>
      <w:spacing w:after="57"/>
    </w:pPr>
  </w:style>
  <w:style w:type="paragraph" w:styleId="185">
    <w:name w:val="toc 4"/>
    <w:basedOn w:val="690"/>
    <w:next w:val="690"/>
    <w:uiPriority w:val="39"/>
    <w:unhideWhenUsed/>
    <w:pPr>
      <w:ind w:left="850" w:right="0" w:firstLine="0"/>
      <w:spacing w:after="57"/>
    </w:pPr>
  </w:style>
  <w:style w:type="paragraph" w:styleId="186">
    <w:name w:val="toc 5"/>
    <w:basedOn w:val="690"/>
    <w:next w:val="690"/>
    <w:uiPriority w:val="39"/>
    <w:unhideWhenUsed/>
    <w:pPr>
      <w:ind w:left="1134" w:right="0" w:firstLine="0"/>
      <w:spacing w:after="57"/>
    </w:pPr>
  </w:style>
  <w:style w:type="paragraph" w:styleId="187">
    <w:name w:val="toc 6"/>
    <w:basedOn w:val="690"/>
    <w:next w:val="690"/>
    <w:uiPriority w:val="39"/>
    <w:unhideWhenUsed/>
    <w:pPr>
      <w:ind w:left="1417" w:right="0" w:firstLine="0"/>
      <w:spacing w:after="57"/>
    </w:pPr>
  </w:style>
  <w:style w:type="paragraph" w:styleId="188">
    <w:name w:val="toc 7"/>
    <w:basedOn w:val="690"/>
    <w:next w:val="690"/>
    <w:uiPriority w:val="39"/>
    <w:unhideWhenUsed/>
    <w:pPr>
      <w:ind w:left="1701" w:right="0" w:firstLine="0"/>
      <w:spacing w:after="57"/>
    </w:pPr>
  </w:style>
  <w:style w:type="paragraph" w:styleId="189">
    <w:name w:val="toc 8"/>
    <w:basedOn w:val="690"/>
    <w:next w:val="690"/>
    <w:uiPriority w:val="39"/>
    <w:unhideWhenUsed/>
    <w:pPr>
      <w:ind w:left="1984" w:right="0" w:firstLine="0"/>
      <w:spacing w:after="57"/>
    </w:pPr>
  </w:style>
  <w:style w:type="paragraph" w:styleId="190">
    <w:name w:val="toc 9"/>
    <w:basedOn w:val="690"/>
    <w:next w:val="690"/>
    <w:uiPriority w:val="39"/>
    <w:unhideWhenUsed/>
    <w:pPr>
      <w:ind w:left="2268" w:right="0" w:firstLine="0"/>
      <w:spacing w:after="57"/>
    </w:pPr>
  </w:style>
  <w:style w:type="paragraph" w:styleId="191">
    <w:name w:val="TOC Heading"/>
    <w:uiPriority w:val="39"/>
    <w:unhideWhenUsed/>
  </w:style>
  <w:style w:type="paragraph" w:styleId="192">
    <w:name w:val="table of figures"/>
    <w:basedOn w:val="690"/>
    <w:next w:val="690"/>
    <w:uiPriority w:val="99"/>
    <w:unhideWhenUsed/>
    <w:pPr>
      <w:spacing w:after="0" w:afterAutospacing="0"/>
    </w:pPr>
  </w:style>
  <w:style w:type="paragraph" w:styleId="690" w:default="1">
    <w:name w:val="Normal"/>
    <w:next w:val="690"/>
    <w:link w:val="690"/>
    <w:qFormat/>
    <w:rPr>
      <w:lang w:val="ru-RU" w:eastAsia="ru-RU" w:bidi="ar-SA"/>
    </w:rPr>
  </w:style>
  <w:style w:type="paragraph" w:styleId="691">
    <w:name w:val="Заголовок 1"/>
    <w:basedOn w:val="700"/>
    <w:next w:val="700"/>
    <w:link w:val="690"/>
    <w:qFormat/>
    <w:pPr>
      <w:jc w:val="center"/>
      <w:keepNext/>
      <w:spacing w:before="240" w:after="60"/>
      <w:outlineLvl w:val="0"/>
    </w:pPr>
    <w:rPr>
      <w:rFonts w:ascii="Arial" w:hAnsi="Arial"/>
      <w:b/>
      <w:sz w:val="28"/>
    </w:rPr>
  </w:style>
  <w:style w:type="paragraph" w:styleId="692">
    <w:name w:val="Заголовок 2"/>
    <w:basedOn w:val="690"/>
    <w:next w:val="690"/>
    <w:link w:val="690"/>
    <w:qFormat/>
    <w:pPr>
      <w:ind w:right="113"/>
      <w:jc w:val="both"/>
      <w:keepNext/>
      <w:spacing w:after="60"/>
      <w:outlineLvl w:val="1"/>
    </w:pPr>
    <w:rPr>
      <w:sz w:val="24"/>
    </w:rPr>
  </w:style>
  <w:style w:type="paragraph" w:styleId="693">
    <w:name w:val="Заголовок 3"/>
    <w:basedOn w:val="690"/>
    <w:next w:val="690"/>
    <w:link w:val="690"/>
    <w:qFormat/>
    <w:pPr>
      <w:jc w:val="center"/>
      <w:keepNext/>
      <w:outlineLvl w:val="2"/>
    </w:pPr>
    <w:rPr>
      <w:b/>
      <w:sz w:val="22"/>
    </w:rPr>
  </w:style>
  <w:style w:type="paragraph" w:styleId="694">
    <w:name w:val="Заголовок 4"/>
    <w:basedOn w:val="690"/>
    <w:next w:val="690"/>
    <w:link w:val="690"/>
    <w:qFormat/>
    <w:pPr>
      <w:jc w:val="center"/>
      <w:keepNext/>
      <w:spacing w:line="228" w:lineRule="auto"/>
      <w:outlineLvl w:val="3"/>
    </w:pPr>
    <w:rPr>
      <w:b/>
    </w:rPr>
  </w:style>
  <w:style w:type="paragraph" w:styleId="695">
    <w:name w:val="Заголовок 5"/>
    <w:basedOn w:val="690"/>
    <w:next w:val="690"/>
    <w:link w:val="690"/>
    <w:qFormat/>
    <w:pPr>
      <w:jc w:val="both"/>
      <w:keepNext/>
      <w:spacing w:line="228" w:lineRule="auto"/>
      <w:outlineLvl w:val="4"/>
    </w:pPr>
    <w:rPr>
      <w:i/>
      <w:sz w:val="18"/>
    </w:rPr>
  </w:style>
  <w:style w:type="character" w:styleId="696">
    <w:name w:val="Основной шрифт абзаца"/>
    <w:next w:val="696"/>
    <w:link w:val="690"/>
    <w:semiHidden/>
  </w:style>
  <w:style w:type="table" w:styleId="697">
    <w:name w:val="Обычная таблица"/>
    <w:next w:val="697"/>
    <w:link w:val="690"/>
    <w:semiHidden/>
    <w:tblPr/>
  </w:style>
  <w:style w:type="numbering" w:styleId="698">
    <w:name w:val="Нет списка"/>
    <w:next w:val="698"/>
    <w:link w:val="690"/>
    <w:semiHidden/>
  </w:style>
  <w:style w:type="paragraph" w:styleId="699">
    <w:name w:val="Îáû÷íûé"/>
    <w:next w:val="699"/>
    <w:link w:val="690"/>
    <w:rPr>
      <w:lang w:val="ru-RU" w:eastAsia="ru-RU" w:bidi="ar-SA"/>
    </w:rPr>
  </w:style>
  <w:style w:type="paragraph" w:styleId="700">
    <w:name w:val="Normal1"/>
    <w:next w:val="700"/>
    <w:link w:val="690"/>
    <w:rPr>
      <w:lang w:val="ru-RU" w:eastAsia="ru-RU" w:bidi="ar-SA"/>
    </w:rPr>
  </w:style>
  <w:style w:type="paragraph" w:styleId="701">
    <w:name w:val="Основной текст"/>
    <w:basedOn w:val="690"/>
    <w:next w:val="701"/>
    <w:link w:val="724"/>
    <w:pPr>
      <w:jc w:val="both"/>
    </w:pPr>
  </w:style>
  <w:style w:type="paragraph" w:styleId="702">
    <w:name w:val="заголовок 2"/>
    <w:basedOn w:val="690"/>
    <w:next w:val="690"/>
    <w:link w:val="690"/>
    <w:pPr>
      <w:jc w:val="center"/>
      <w:keepNext/>
    </w:pPr>
    <w:rPr>
      <w:b/>
    </w:rPr>
  </w:style>
  <w:style w:type="paragraph" w:styleId="703">
    <w:name w:val="Основной текст с отступом 2"/>
    <w:basedOn w:val="690"/>
    <w:next w:val="703"/>
    <w:link w:val="690"/>
    <w:pPr>
      <w:ind w:firstLine="720"/>
      <w:jc w:val="both"/>
    </w:pPr>
  </w:style>
  <w:style w:type="paragraph" w:styleId="704">
    <w:name w:val="Основной текст 2"/>
    <w:basedOn w:val="690"/>
    <w:next w:val="704"/>
    <w:link w:val="690"/>
    <w:pPr>
      <w:jc w:val="both"/>
    </w:pPr>
  </w:style>
  <w:style w:type="paragraph" w:styleId="705">
    <w:name w:val="Основной текст с отступом"/>
    <w:basedOn w:val="690"/>
    <w:next w:val="705"/>
    <w:link w:val="690"/>
    <w:pPr>
      <w:ind w:firstLine="720"/>
      <w:jc w:val="both"/>
    </w:pPr>
    <w:rPr>
      <w:sz w:val="23"/>
    </w:rPr>
  </w:style>
  <w:style w:type="paragraph" w:styleId="706">
    <w:name w:val="заголовок 1"/>
    <w:basedOn w:val="690"/>
    <w:next w:val="690"/>
    <w:link w:val="690"/>
    <w:pPr>
      <w:jc w:val="both"/>
      <w:keepNext/>
      <w:widowControl w:val="off"/>
    </w:pPr>
    <w:rPr>
      <w:sz w:val="24"/>
    </w:rPr>
  </w:style>
  <w:style w:type="paragraph" w:styleId="707">
    <w:name w:val="Название объекта"/>
    <w:basedOn w:val="690"/>
    <w:next w:val="707"/>
    <w:link w:val="690"/>
    <w:qFormat/>
    <w:pPr>
      <w:jc w:val="center"/>
    </w:pPr>
    <w:rPr>
      <w:b/>
      <w:sz w:val="24"/>
    </w:rPr>
  </w:style>
  <w:style w:type="paragraph" w:styleId="708">
    <w:name w:val="Основной текст с отступом 3"/>
    <w:basedOn w:val="690"/>
    <w:next w:val="708"/>
    <w:link w:val="690"/>
    <w:pPr>
      <w:ind w:left="5760"/>
    </w:pPr>
  </w:style>
  <w:style w:type="character" w:styleId="709">
    <w:name w:val="Номер страницы"/>
    <w:basedOn w:val="710"/>
    <w:next w:val="709"/>
    <w:link w:val="690"/>
  </w:style>
  <w:style w:type="character" w:styleId="710" w:default="1">
    <w:name w:val="Default Paragraph Font"/>
    <w:next w:val="710"/>
    <w:link w:val="690"/>
  </w:style>
  <w:style w:type="paragraph" w:styleId="711">
    <w:name w:val="Верхний колонтитул"/>
    <w:basedOn w:val="700"/>
    <w:next w:val="711"/>
    <w:link w:val="690"/>
    <w:pPr>
      <w:tabs>
        <w:tab w:val="center" w:pos="4536" w:leader="none"/>
        <w:tab w:val="right" w:pos="9072" w:leader="none"/>
      </w:tabs>
    </w:pPr>
  </w:style>
  <w:style w:type="paragraph" w:styleId="712">
    <w:name w:val="Iau?iue"/>
    <w:next w:val="712"/>
    <w:link w:val="690"/>
    <w:pPr>
      <w:widowControl w:val="off"/>
    </w:pPr>
    <w:rPr>
      <w:rFonts w:ascii="Garamond" w:hAnsi="Garamond"/>
      <w:lang w:val="ru-RU" w:eastAsia="ru-RU" w:bidi="ar-SA"/>
    </w:rPr>
  </w:style>
  <w:style w:type="paragraph" w:styleId="713">
    <w:name w:val="Body Text 2"/>
    <w:basedOn w:val="690"/>
    <w:next w:val="713"/>
    <w:link w:val="690"/>
    <w:pPr>
      <w:ind w:left="720" w:firstLine="720"/>
      <w:jc w:val="both"/>
      <w:widowControl w:val="off"/>
    </w:pPr>
    <w:rPr>
      <w:color w:val="ff0000"/>
      <w:sz w:val="22"/>
    </w:rPr>
  </w:style>
  <w:style w:type="paragraph" w:styleId="714">
    <w:name w:val="????????? 4"/>
    <w:basedOn w:val="690"/>
    <w:next w:val="690"/>
    <w:link w:val="690"/>
    <w:pPr>
      <w:jc w:val="center"/>
      <w:keepNext/>
    </w:pPr>
    <w:rPr>
      <w:b/>
    </w:rPr>
  </w:style>
  <w:style w:type="character" w:styleId="715">
    <w:name w:val="номер страницы"/>
    <w:next w:val="715"/>
    <w:link w:val="690"/>
    <w:rPr>
      <w:sz w:val="20"/>
    </w:rPr>
  </w:style>
  <w:style w:type="paragraph" w:styleId="716">
    <w:name w:val="Body Text Indent 3"/>
    <w:basedOn w:val="690"/>
    <w:next w:val="716"/>
    <w:link w:val="690"/>
    <w:pPr>
      <w:ind w:left="1134"/>
      <w:jc w:val="both"/>
      <w:spacing w:line="240" w:lineRule="atLeast"/>
      <w:widowControl w:val="off"/>
    </w:pPr>
    <w:rPr>
      <w:sz w:val="24"/>
    </w:rPr>
  </w:style>
  <w:style w:type="character" w:styleId="717">
    <w:name w:val="Строгий"/>
    <w:next w:val="717"/>
    <w:link w:val="690"/>
    <w:qFormat/>
    <w:rPr>
      <w:b/>
    </w:rPr>
  </w:style>
  <w:style w:type="paragraph" w:styleId="718">
    <w:name w:val="Îñíîâíîé òåêñò"/>
    <w:basedOn w:val="699"/>
    <w:next w:val="718"/>
    <w:link w:val="690"/>
    <w:pPr>
      <w:jc w:val="both"/>
    </w:pPr>
    <w:rPr>
      <w:b/>
    </w:rPr>
  </w:style>
  <w:style w:type="paragraph" w:styleId="719">
    <w:name w:val="Основной текст 3"/>
    <w:basedOn w:val="690"/>
    <w:next w:val="719"/>
    <w:link w:val="690"/>
    <w:pPr>
      <w:jc w:val="both"/>
    </w:pPr>
    <w:rPr>
      <w:sz w:val="21"/>
      <w:szCs w:val="21"/>
    </w:rPr>
  </w:style>
  <w:style w:type="paragraph" w:styleId="720">
    <w:name w:val="Нижний колонтитул"/>
    <w:basedOn w:val="690"/>
    <w:next w:val="720"/>
    <w:link w:val="690"/>
    <w:pPr>
      <w:tabs>
        <w:tab w:val="center" w:pos="4677" w:leader="none"/>
        <w:tab w:val="right" w:pos="9355" w:leader="none"/>
      </w:tabs>
    </w:pPr>
    <w:rPr>
      <w:sz w:val="24"/>
      <w:szCs w:val="24"/>
    </w:rPr>
  </w:style>
  <w:style w:type="paragraph" w:styleId="721">
    <w:name w:val=" Знак Знак1"/>
    <w:basedOn w:val="690"/>
    <w:next w:val="721"/>
    <w:link w:val="690"/>
    <w:pPr>
      <w:jc w:val="both"/>
      <w:spacing w:after="160" w:line="240" w:lineRule="exact"/>
      <w:tabs>
        <w:tab w:val="num" w:pos="360" w:leader="none"/>
      </w:tabs>
    </w:pPr>
    <w:rPr>
      <w:rFonts w:ascii="Verdana" w:hAnsi="Verdana" w:cs="Verdana"/>
      <w:lang w:val="en-US" w:eastAsia="en-US"/>
    </w:rPr>
  </w:style>
  <w:style w:type="paragraph" w:styleId="722">
    <w:name w:val="Iniiaiie oaeno 2"/>
    <w:basedOn w:val="712"/>
    <w:next w:val="722"/>
    <w:link w:val="690"/>
    <w:pPr>
      <w:jc w:val="both"/>
      <w:widowControl/>
    </w:pPr>
    <w:rPr>
      <w:rFonts w:ascii="Times New Roman" w:hAnsi="Times New Roman"/>
    </w:rPr>
  </w:style>
  <w:style w:type="paragraph" w:styleId="723">
    <w:name w:val="caaieiaie 1"/>
    <w:basedOn w:val="712"/>
    <w:next w:val="712"/>
    <w:link w:val="690"/>
    <w:pPr>
      <w:jc w:val="center"/>
      <w:keepNext/>
      <w:spacing w:before="240" w:after="60"/>
      <w:widowControl/>
    </w:pPr>
    <w:rPr>
      <w:rFonts w:ascii="Arial" w:hAnsi="Arial"/>
      <w:b/>
      <w:sz w:val="28"/>
    </w:rPr>
  </w:style>
  <w:style w:type="character" w:styleId="724">
    <w:name w:val="Основной текст Знак"/>
    <w:next w:val="724"/>
    <w:link w:val="701"/>
    <w:rPr>
      <w:lang w:val="ru-RU" w:eastAsia="ru-RU" w:bidi="ar-SA"/>
    </w:rPr>
  </w:style>
  <w:style w:type="paragraph" w:styleId="725">
    <w:name w:val="Текст сноски"/>
    <w:basedOn w:val="690"/>
    <w:next w:val="725"/>
    <w:link w:val="690"/>
    <w:semiHidden/>
  </w:style>
  <w:style w:type="character" w:styleId="726">
    <w:name w:val="Знак сноски"/>
    <w:next w:val="726"/>
    <w:link w:val="690"/>
    <w:semiHidden/>
    <w:rPr>
      <w:vertAlign w:val="superscript"/>
    </w:rPr>
  </w:style>
  <w:style w:type="paragraph" w:styleId="727">
    <w:name w:val="Стиль1"/>
    <w:basedOn w:val="690"/>
    <w:next w:val="727"/>
    <w:link w:val="690"/>
    <w:pPr>
      <w:ind w:firstLine="720"/>
      <w:jc w:val="both"/>
    </w:pPr>
    <w:rPr>
      <w:sz w:val="22"/>
      <w:szCs w:val="22"/>
    </w:rPr>
  </w:style>
  <w:style w:type="paragraph" w:styleId="728">
    <w:name w:val="çàãîëîâîê 1"/>
    <w:basedOn w:val="699"/>
    <w:next w:val="699"/>
    <w:link w:val="690"/>
    <w:pPr>
      <w:jc w:val="center"/>
      <w:keepNext/>
      <w:spacing w:before="60" w:line="192" w:lineRule="auto"/>
    </w:pPr>
    <w:rPr>
      <w:rFonts w:ascii="Arial" w:hAnsi="Arial"/>
      <w:b/>
      <w:sz w:val="24"/>
    </w:rPr>
  </w:style>
  <w:style w:type="paragraph" w:styleId="729">
    <w:name w:val="бычный"/>
    <w:next w:val="729"/>
    <w:link w:val="690"/>
    <w:pPr>
      <w:ind w:firstLine="709"/>
      <w:jc w:val="both"/>
      <w:widowControl w:val="off"/>
    </w:pPr>
    <w:rPr>
      <w:rFonts w:ascii="Journal" w:hAnsi="Journal"/>
      <w:sz w:val="24"/>
      <w:szCs w:val="24"/>
      <w:lang w:val="ru-RU" w:eastAsia="ru-RU" w:bidi="ar-SA"/>
    </w:rPr>
  </w:style>
  <w:style w:type="character" w:styleId="730">
    <w:name w:val=" Знак Знак11"/>
    <w:next w:val="730"/>
    <w:link w:val="690"/>
    <w:rPr>
      <w:lang w:val="ru-RU" w:eastAsia="ru-RU" w:bidi="ar-SA"/>
    </w:rPr>
  </w:style>
  <w:style w:type="character" w:styleId="731">
    <w:name w:val="Основной текст (6)_"/>
    <w:next w:val="731"/>
    <w:link w:val="732"/>
    <w:rPr>
      <w:sz w:val="17"/>
      <w:szCs w:val="17"/>
      <w:lang w:bidi="ar-SA"/>
    </w:rPr>
  </w:style>
  <w:style w:type="paragraph" w:styleId="732">
    <w:name w:val="Основной текст (6)1"/>
    <w:basedOn w:val="690"/>
    <w:next w:val="732"/>
    <w:link w:val="731"/>
    <w:pPr>
      <w:jc w:val="right"/>
      <w:spacing w:after="300" w:line="230" w:lineRule="exact"/>
      <w:shd w:val="clear" w:color="auto" w:fill="ffffff"/>
    </w:pPr>
    <w:rPr>
      <w:sz w:val="17"/>
      <w:szCs w:val="17"/>
      <w:lang w:val="en-US" w:eastAsia="en-US"/>
    </w:rPr>
  </w:style>
  <w:style w:type="paragraph" w:styleId="733">
    <w:name w:val="Îñíîâíîé òåêñò 2"/>
    <w:basedOn w:val="699"/>
    <w:next w:val="733"/>
    <w:link w:val="690"/>
    <w:pPr>
      <w:jc w:val="both"/>
    </w:pPr>
  </w:style>
  <w:style w:type="paragraph" w:styleId="734">
    <w:name w:val="ConsPlusNormal"/>
    <w:next w:val="734"/>
    <w:link w:val="690"/>
    <w:pPr>
      <w:ind w:firstLine="720"/>
      <w:widowControl w:val="off"/>
    </w:pPr>
    <w:rPr>
      <w:rFonts w:ascii="Arial" w:hAnsi="Arial" w:cs="Arial"/>
      <w:lang w:val="ru-RU" w:eastAsia="ru-RU" w:bidi="ar-SA"/>
    </w:rPr>
  </w:style>
  <w:style w:type="paragraph" w:styleId="735">
    <w:name w:val="Знак Знак Знак"/>
    <w:basedOn w:val="690"/>
    <w:next w:val="735"/>
    <w:link w:val="690"/>
    <w:pPr>
      <w:spacing w:before="100" w:beforeAutospacing="1" w:after="100" w:afterAutospacing="1"/>
    </w:pPr>
    <w:rPr>
      <w:rFonts w:ascii="Tahoma" w:hAnsi="Tahoma"/>
      <w:lang w:val="en-US" w:eastAsia="en-US"/>
    </w:rPr>
  </w:style>
  <w:style w:type="paragraph" w:styleId="736">
    <w:name w:val=" Знак Знак Знак"/>
    <w:basedOn w:val="690"/>
    <w:next w:val="736"/>
    <w:link w:val="690"/>
    <w:pPr>
      <w:spacing w:before="100" w:beforeAutospacing="1" w:after="100" w:afterAutospacing="1"/>
    </w:pPr>
    <w:rPr>
      <w:rFonts w:ascii="Tahoma" w:hAnsi="Tahoma"/>
      <w:lang w:val="en-US" w:eastAsia="en-US"/>
    </w:rPr>
  </w:style>
  <w:style w:type="table" w:styleId="737">
    <w:name w:val="Сетка таблицы"/>
    <w:basedOn w:val="697"/>
    <w:next w:val="737"/>
    <w:link w:val="690"/>
    <w:tblPr/>
  </w:style>
  <w:style w:type="character" w:styleId="738">
    <w:name w:val="WW8Num2z0"/>
    <w:next w:val="738"/>
    <w:link w:val="690"/>
    <w:rPr>
      <w:sz w:val="22"/>
      <w:szCs w:val="22"/>
    </w:rPr>
  </w:style>
  <w:style w:type="paragraph" w:styleId="739">
    <w:name w:val="Без интервала"/>
    <w:next w:val="739"/>
    <w:link w:val="690"/>
    <w:uiPriority w:val="1"/>
    <w:qFormat/>
    <w:pPr>
      <w:widowControl w:val="off"/>
    </w:pPr>
    <w:rPr>
      <w:rFonts w:eastAsia="Arial Unicode MS"/>
      <w:sz w:val="24"/>
      <w:szCs w:val="24"/>
      <w:lang w:val="ru-RU" w:eastAsia="ru-RU" w:bidi="ar-SA"/>
    </w:rPr>
  </w:style>
  <w:style w:type="paragraph" w:styleId="740">
    <w:name w:val="msonormal_mr_css_attr_mr_css_attr"/>
    <w:basedOn w:val="690"/>
    <w:next w:val="740"/>
    <w:link w:val="690"/>
    <w:pPr>
      <w:spacing w:before="100" w:beforeAutospacing="1" w:after="100" w:afterAutospacing="1"/>
    </w:pPr>
    <w:rPr>
      <w:sz w:val="24"/>
      <w:szCs w:val="24"/>
    </w:rPr>
  </w:style>
  <w:style w:type="character" w:styleId="741">
    <w:name w:val="Гиперссылка"/>
    <w:next w:val="741"/>
    <w:link w:val="690"/>
    <w:uiPriority w:val="99"/>
    <w:unhideWhenUsed/>
    <w:rPr>
      <w:color w:val="0000ff"/>
      <w:u w:val="single"/>
    </w:rPr>
  </w:style>
  <w:style w:type="paragraph" w:styleId="742">
    <w:name w:val="List Paragraph"/>
    <w:basedOn w:val="690"/>
    <w:next w:val="742"/>
    <w:link w:val="690"/>
    <w:pPr>
      <w:contextualSpacing/>
      <w:ind w:left="720"/>
      <w:widowControl w:val="off"/>
    </w:pPr>
    <w:rPr>
      <w:lang w:eastAsia="ar-SA"/>
    </w:rPr>
  </w:style>
  <w:style w:type="paragraph" w:styleId="743">
    <w:name w:val="Абзац списка"/>
    <w:basedOn w:val="690"/>
    <w:next w:val="743"/>
    <w:link w:val="690"/>
    <w:uiPriority w:val="34"/>
    <w:qFormat/>
    <w:pPr>
      <w:contextualSpacing/>
      <w:ind w:left="720"/>
      <w:widowControl w:val="off"/>
    </w:pPr>
    <w:rPr>
      <w:lang w:eastAsia="ar-SA"/>
    </w:rPr>
  </w:style>
  <w:style w:type="paragraph" w:styleId="744">
    <w:name w:val="p1_mr_css_attr"/>
    <w:basedOn w:val="690"/>
    <w:next w:val="744"/>
    <w:link w:val="690"/>
    <w:pPr>
      <w:spacing w:before="100" w:beforeAutospacing="1" w:after="100" w:afterAutospacing="1"/>
    </w:pPr>
    <w:rPr>
      <w:sz w:val="24"/>
      <w:szCs w:val="24"/>
    </w:rPr>
  </w:style>
  <w:style w:type="character" w:styleId="745">
    <w:name w:val="s1_mr_css_attr"/>
    <w:basedOn w:val="696"/>
    <w:next w:val="745"/>
    <w:link w:val="690"/>
  </w:style>
  <w:style w:type="numbering" w:styleId="2307" w:default="1">
    <w:name w:val="No List"/>
    <w:uiPriority w:val="99"/>
    <w:semiHidden/>
    <w:unhideWhenUsed/>
  </w:style>
  <w:style w:type="table" w:styleId="23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comments" Target="comments.xml" /><Relationship Id="rId13" Type="http://schemas.microsoft.com/office/2011/relationships/commentsExtended" Target="commentsExtended.xml" /><Relationship Id="rId14" Type="http://schemas.microsoft.com/office/2018/08/relationships/commentsExtensible" Target="commentsExtensible.xml" /><Relationship Id="rId15" Type="http://schemas.microsoft.com/office/2016/09/relationships/commentsIds" Target="commentsIds.xml" /><Relationship Id="rId16" Type="http://schemas.microsoft.com/office/2011/relationships/people" Target="people.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r7-office/2025.4.1.1604</Application>
  <Company>Astro-volga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Давтян</dc:creator>
  <cp:lastModifiedBy>Карина Геворгиевна</cp:lastModifiedBy>
  <cp:revision>10</cp:revision>
  <dcterms:created xsi:type="dcterms:W3CDTF">2024-07-30T03:17:00Z</dcterms:created>
  <dcterms:modified xsi:type="dcterms:W3CDTF">2026-10-06T06:29:31Z</dcterms:modified>
  <cp:version>1048576</cp:version>
</cp:coreProperties>
</file>