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jc w:val="right"/>
        <w:rPr>
          <w:b/>
          <w:bCs/>
        </w:rPr>
      </w:pPr>
      <w:r>
        <w:rPr>
          <w:b/>
          <w:bCs/>
        </w:rPr>
        <w:t>Приложение № 2</w:t>
      </w:r>
    </w:p>
    <w:p>
      <w:pPr>
        <w:pStyle w:val="Normal"/>
        <w:jc w:val="center"/>
        <w:rPr>
          <w:b/>
          <w:bCs/>
          <w:color w:val="000000"/>
          <w:sz w:val="24"/>
          <w:szCs w:val="24"/>
        </w:rPr>
      </w:pPr>
      <w:r>
        <w:rPr/>
      </w:r>
    </w:p>
    <w:p>
      <w:pPr>
        <w:pStyle w:val="Normal"/>
        <w:jc w:val="center"/>
        <w:rPr>
          <w:b/>
          <w:bCs/>
          <w:color w:val="000000"/>
          <w:sz w:val="24"/>
          <w:szCs w:val="24"/>
        </w:rPr>
      </w:pPr>
      <w:bookmarkStart w:id="0" w:name="_Hlk11828957"/>
      <w:bookmarkStart w:id="1" w:name="_GoBack"/>
      <w:bookmarkEnd w:id="1"/>
      <w:r>
        <w:rPr>
          <w:b/>
          <w:bCs/>
          <w:color w:val="000000"/>
          <w:sz w:val="24"/>
          <w:szCs w:val="24"/>
        </w:rPr>
        <w:t>ТЕХНИЧЕСКОЕ ЗАДАНИЕ⁠⁠⁠​‌​‌​​‌​​‌​​​‌​‌​​‌‌​​​‌​‌​​‌‌​​​‌​​‌‌​‌​‌​‌​​​‌​‌​​​‌​‌​‌​​​​‌​​‌‌‌‌​​​​‌‌​​​‌​​‌​‌‌​​​​‌‌​​​​‌​‌‌‌​​‌‌​‌‌‌‌​​​​‌​‌​​​‌​​‌‌​​​​​‌‌​‌​‌​​‌‌​​‌‌​​‌​‌​​​‌​‌​​‌‌‌​​‌‌​‌‌‌‌​‌‌‌​‌‌​​‌​​​‌​​​‌‌​‌​‌‌​‌‌‌​‌‌​​‌‌‌​‌​‌​‌​​‌​​​​‌‌​​‌​​​​‌‌​​​‌​​‌​‌‌​‌​​‌‌​​​‌​​‌‌​​‌‌​‌‌‌​‌​​​‌‌​‌​​‌​‌​‌‌​‌​​‌​​‌​‌‌​‌​‌‌‌‌‌​​‌‌​‌‌​​‌​​‌​​‌​‌‌​‌‌​​​‌​​​​‌‌​‌‌‌​‌‌‌​​‌​‌‌​‌​​‌‌​​‌​​‌‌​​​​‌​‌​​‌‌​‌​‌​​‌‌‌​​‌‌‌​​‌‌​‌‌​‌‌​​​‌​​​​​‌​‌​‌‌​‌​​‌‌​‌‌​​​‌‌‌​‌​‌​‌‌‌​​‌​​‌‌‌‌​​​​‌​​​​​‌​‌‌​​​‌​​‌‌​​​​‌​‌‌​​‌​‌​‌‌‌​​‌‌​‌​‌​​​​​‌​​‌‌‌‌​‌​​‌‌‌‌​‌​​‌‌‌​​‌‌​​​​‌​‌​‌​​​‌​​‌‌‌​​​​‌​‌​‌‌​​​‌‌​​‌​​‌​‌​‌​‌​‌‌‌​‌‌‌​‌‌‌​‌​​​‌​‌​‌​‌​‌​​‌​‌‌​‌‌​​‌‌​​‌​‌​​‌‌​‌​​‌‌​‌​‌​‌​‌‌​​​‌‌​‌‌‌​‌​‌​‌​‌​‌​​​​​‌​‌‌‌​‌‌‌⁠⁠⁠</w:t>
      </w:r>
    </w:p>
    <w:p>
      <w:pPr>
        <w:pStyle w:val="Normal"/>
        <w:widowControl w:val="false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поставка ресурсного комплекта сменных и эксплуатационных компонентов для технического обслуживания и модернизации учебных FPV-систем для нужд МОУ "Средняя общеобразовательная школа № 3 г. Ершова Саратовской области"</w:t>
      </w:r>
    </w:p>
    <w:p>
      <w:pPr>
        <w:pStyle w:val="Normal"/>
        <w:widowControl w:val="false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Normal"/>
        <w:widowControl w:val="false"/>
        <w:jc w:val="center"/>
        <w:rPr>
          <w:b/>
        </w:rPr>
      </w:pPr>
      <w:r>
        <w:rPr>
          <w:b/>
        </w:rPr>
      </w:r>
    </w:p>
    <w:p>
      <w:pPr>
        <w:pStyle w:val="ListParagraph"/>
        <w:numPr>
          <w:ilvl w:val="0"/>
          <w:numId w:val="0"/>
        </w:numPr>
        <w:spacing w:lineRule="atLeast" w:line="20" w:before="0" w:after="0"/>
        <w:ind w:left="-207" w:right="-284"/>
        <w:jc w:val="both"/>
        <w:outlineLvl w:val="0"/>
        <w:rPr>
          <w:b/>
          <w:bCs/>
        </w:rPr>
      </w:pPr>
      <w:r>
        <w:rPr>
          <w:rFonts w:cs="Times New Roman" w:ascii="Times New Roman" w:hAnsi="Times New Roman"/>
          <w:i/>
          <w:iCs/>
          <w:sz w:val="18"/>
          <w:szCs w:val="18"/>
        </w:rPr>
        <w:t>Таблица применения Постановления Правительства РФ от 23.12.2024 N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</w:t>
      </w:r>
    </w:p>
    <w:tbl>
      <w:tblPr>
        <w:tblW w:w="9923" w:type="dxa"/>
        <w:jc w:val="left"/>
        <w:tblInd w:w="-17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566"/>
        <w:gridCol w:w="1448"/>
        <w:gridCol w:w="3090"/>
        <w:gridCol w:w="1133"/>
        <w:gridCol w:w="1827"/>
        <w:gridCol w:w="1858"/>
      </w:tblGrid>
      <w:tr>
        <w:trPr>
          <w:tblHeader w:val="true"/>
          <w:trHeight w:val="300" w:hRule="atLeast"/>
        </w:trPr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tLeast" w:line="20"/>
              <w:jc w:val="center"/>
              <w:rPr/>
            </w:pPr>
            <w:r>
              <w:rPr>
                <w:b/>
                <w:bCs/>
              </w:rPr>
              <w:t xml:space="preserve">№ </w:t>
            </w:r>
            <w:r>
              <w:rPr>
                <w:b/>
                <w:bCs/>
              </w:rPr>
              <w:t>п/п</w:t>
            </w:r>
          </w:p>
        </w:tc>
        <w:tc>
          <w:tcPr>
            <w:tcW w:w="14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tLeast" w:line="20"/>
              <w:jc w:val="center"/>
              <w:rPr/>
            </w:pPr>
            <w:r>
              <w:rPr>
                <w:b/>
                <w:bCs/>
              </w:rPr>
              <w:t>ОКПД 2</w:t>
            </w:r>
          </w:p>
        </w:tc>
        <w:tc>
          <w:tcPr>
            <w:tcW w:w="30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tLeast" w:line="20"/>
              <w:jc w:val="center"/>
              <w:rPr/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4818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tLeast" w:line="20"/>
              <w:jc w:val="center"/>
              <w:rPr/>
            </w:pPr>
            <w:r>
              <w:rPr>
                <w:b/>
                <w:bCs/>
              </w:rPr>
              <w:t>Национальный режим</w:t>
            </w:r>
          </w:p>
        </w:tc>
      </w:tr>
      <w:tr>
        <w:trPr>
          <w:trHeight w:val="526" w:hRule="atLeast"/>
        </w:trPr>
        <w:tc>
          <w:tcPr>
            <w:tcW w:w="56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lineRule="atLeast" w:line="20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14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lineRule="atLeast" w:line="20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30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lineRule="atLeast" w:line="20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113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tLeast" w:line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1875</w:t>
            </w:r>
          </w:p>
          <w:p>
            <w:pPr>
              <w:pStyle w:val="Normal"/>
              <w:spacing w:lineRule="atLeast" w:line="20"/>
              <w:jc w:val="center"/>
              <w:rPr/>
            </w:pPr>
            <w:r>
              <w:rPr>
                <w:b/>
                <w:bCs/>
              </w:rPr>
              <w:t>(Запрет)</w:t>
            </w:r>
          </w:p>
        </w:tc>
        <w:tc>
          <w:tcPr>
            <w:tcW w:w="18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tLeast" w:line="20"/>
              <w:jc w:val="center"/>
              <w:rPr/>
            </w:pPr>
            <w:r>
              <w:rPr>
                <w:b/>
                <w:bCs/>
              </w:rPr>
              <w:t>1875 (Ограничение)</w:t>
            </w:r>
          </w:p>
        </w:tc>
        <w:tc>
          <w:tcPr>
            <w:tcW w:w="18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tLeast" w:line="20"/>
              <w:jc w:val="center"/>
              <w:rPr/>
            </w:pPr>
            <w:r>
              <w:rPr>
                <w:b/>
                <w:bCs/>
              </w:rPr>
              <w:t>1875 (Преимущество)</w:t>
            </w:r>
          </w:p>
        </w:tc>
      </w:tr>
      <w:tr>
        <w:trPr>
          <w:trHeight w:val="526" w:hRule="atLeast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tLeast" w:line="20"/>
              <w:rPr/>
            </w:pPr>
            <w:r>
              <w:rPr>
                <w:b/>
                <w:bCs/>
              </w:rPr>
              <w:t>1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tLeast" w:line="20"/>
              <w:rPr/>
            </w:pPr>
            <w:r>
              <w:rPr/>
              <w:t>32.99.53.139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tLeast" w:line="20"/>
              <w:jc w:val="center"/>
              <w:rPr/>
            </w:pPr>
            <w:r>
              <w:rPr/>
              <w:t>Ресурсный комплект сменных и эксплуатационных компонентов для технического обслуживания и модернизации учебных FPV-систем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tLeast" w:line="20"/>
              <w:jc w:val="center"/>
              <w:rPr/>
            </w:pPr>
            <w:r>
              <w:rPr/>
            </w:r>
          </w:p>
        </w:tc>
        <w:tc>
          <w:tcPr>
            <w:tcW w:w="18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lineRule="atLeast" w:line="20"/>
              <w:jc w:val="center"/>
              <w:rPr>
                <w:b/>
                <w:bCs/>
                <w:color w:val="FF0000"/>
              </w:rPr>
            </w:pPr>
            <w:r>
              <w:rPr>
                <w:rFonts w:cs="Segoe UI Symbol" w:ascii="Segoe UI Symbol" w:hAnsi="Segoe UI Symbol"/>
              </w:rPr>
              <w:t>✓</w:t>
            </w:r>
          </w:p>
        </w:tc>
        <w:tc>
          <w:tcPr>
            <w:tcW w:w="18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lineRule="atLeast" w:line="20"/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</w:r>
          </w:p>
        </w:tc>
      </w:tr>
    </w:tbl>
    <w:p>
      <w:pPr>
        <w:pStyle w:val="BodyText"/>
        <w:pBdr/>
        <w:rPr>
          <w:b w:val="false"/>
          <w:color w:val="000000"/>
          <w:szCs w:val="24"/>
        </w:rPr>
      </w:pPr>
      <w:r>
        <w:rPr>
          <w:b w:val="false"/>
          <w:color w:val="000000"/>
          <w:szCs w:val="24"/>
        </w:rPr>
      </w:r>
    </w:p>
    <w:p>
      <w:pPr>
        <w:pStyle w:val="ListParagraph"/>
        <w:numPr>
          <w:ilvl w:val="0"/>
          <w:numId w:val="2"/>
        </w:numPr>
        <w:spacing w:lineRule="auto" w:line="240" w:before="0" w:after="0"/>
        <w:ind w:hanging="0" w:left="-284" w:right="-284"/>
        <w:jc w:val="both"/>
        <w:rPr>
          <w:rFonts w:ascii="Times New Roman" w:hAnsi="Times New Roman" w:cs="Times New Roman"/>
          <w:i/>
          <w:i/>
          <w:iCs/>
          <w:sz w:val="18"/>
          <w:szCs w:val="18"/>
        </w:rPr>
      </w:pPr>
      <w:r>
        <w:rPr>
          <w:rFonts w:cs="Times New Roman" w:ascii="Times New Roman" w:hAnsi="Times New Roman"/>
          <w:b/>
        </w:rPr>
        <w:t>Объект закупки:</w:t>
      </w:r>
    </w:p>
    <w:tbl>
      <w:tblPr>
        <w:tblW w:w="5000" w:type="pct"/>
        <w:jc w:val="left"/>
        <w:tblInd w:w="-289" w:type="dxa"/>
        <w:tblLayout w:type="fixed"/>
        <w:tblCellMar>
          <w:top w:w="85" w:type="dxa"/>
          <w:left w:w="85" w:type="dxa"/>
          <w:bottom w:w="85" w:type="dxa"/>
          <w:right w:w="85" w:type="dxa"/>
        </w:tblCellMar>
        <w:tblLook w:firstRow="1" w:noVBand="1" w:lastRow="0" w:firstColumn="1" w:lastColumn="0" w:noHBand="0" w:val="04a0"/>
      </w:tblPr>
      <w:tblGrid>
        <w:gridCol w:w="477"/>
        <w:gridCol w:w="2167"/>
        <w:gridCol w:w="2908"/>
        <w:gridCol w:w="1190"/>
        <w:gridCol w:w="1190"/>
        <w:gridCol w:w="793"/>
        <w:gridCol w:w="662"/>
      </w:tblGrid>
      <w:tr>
        <w:trPr>
          <w:trHeight w:val="718" w:hRule="atLeast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b/>
                <w:color w:val="00000A"/>
                <w:sz w:val="22"/>
                <w:szCs w:val="22"/>
              </w:rPr>
              <w:t xml:space="preserve">№ </w:t>
            </w:r>
            <w:r>
              <w:rPr>
                <w:b/>
                <w:color w:val="00000A"/>
                <w:sz w:val="22"/>
                <w:szCs w:val="22"/>
              </w:rPr>
              <w:t>п/п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b/>
                <w:color w:val="00000A"/>
                <w:sz w:val="22"/>
                <w:szCs w:val="22"/>
              </w:rPr>
              <w:t>Наименование товара</w:t>
            </w: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b/>
                <w:color w:val="00000A"/>
                <w:sz w:val="22"/>
                <w:szCs w:val="22"/>
              </w:rPr>
              <w:t>Наименование характеристики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b/>
                <w:color w:val="00000A"/>
                <w:sz w:val="22"/>
                <w:szCs w:val="22"/>
              </w:rPr>
              <w:t>Значение характеристики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b/>
                <w:color w:val="00000A"/>
                <w:sz w:val="22"/>
                <w:szCs w:val="22"/>
              </w:rPr>
              <w:t>Ед. изм. характеристики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b/>
                <w:color w:val="00000A"/>
                <w:sz w:val="22"/>
                <w:szCs w:val="22"/>
              </w:rPr>
              <w:t>Ед. изм.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b/>
                <w:color w:val="00000A"/>
                <w:sz w:val="22"/>
                <w:szCs w:val="22"/>
              </w:rPr>
              <w:t>Кол-во</w:t>
            </w:r>
          </w:p>
        </w:tc>
      </w:tr>
      <w:tr>
        <w:trPr/>
        <w:tc>
          <w:tcPr>
            <w:tcW w:w="477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1.</w:t>
            </w:r>
          </w:p>
        </w:tc>
        <w:tc>
          <w:tcPr>
            <w:tcW w:w="2167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b/>
                <w:bCs/>
                <w:color w:val="00000A"/>
                <w:sz w:val="22"/>
                <w:szCs w:val="22"/>
              </w:rPr>
              <w:t>Ресурсный комплект сменных и эксплуатационных компонентов для технического обслуживания и модернизации учебных FPV-систем</w:t>
            </w:r>
          </w:p>
          <w:p>
            <w:pPr>
              <w:pStyle w:val="Normal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b/>
                <w:color w:val="00000A"/>
                <w:sz w:val="22"/>
                <w:szCs w:val="22"/>
              </w:rPr>
            </w:pPr>
            <w:r>
              <w:rPr>
                <w:b/>
                <w:bCs/>
                <w:color w:val="00000A"/>
                <w:sz w:val="22"/>
                <w:szCs w:val="22"/>
              </w:rPr>
              <w:t>1. Комплект конструктивных сменных компонентов Тип 1 в составе: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Не менее 1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компл</w:t>
            </w:r>
          </w:p>
        </w:tc>
        <w:tc>
          <w:tcPr>
            <w:tcW w:w="793" w:type="dxa"/>
            <w:vMerge w:val="restart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компл</w:t>
            </w:r>
          </w:p>
        </w:tc>
        <w:tc>
          <w:tcPr>
            <w:tcW w:w="662" w:type="dxa"/>
            <w:vMerge w:val="restart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2</w:t>
            </w:r>
          </w:p>
        </w:tc>
      </w:tr>
      <w:tr>
        <w:trPr/>
        <w:tc>
          <w:tcPr>
            <w:tcW w:w="47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1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 xml:space="preserve">1.1 </w:t>
            </w:r>
            <w:r>
              <w:rPr>
                <w:color w:val="00000A"/>
                <w:sz w:val="22"/>
                <w:szCs w:val="22"/>
              </w:rPr>
              <w:t>Рама для малогабаритной учебной FPV-системы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Не менее 1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штука</w:t>
            </w:r>
          </w:p>
        </w:tc>
        <w:tc>
          <w:tcPr>
            <w:tcW w:w="793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662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</w:tr>
      <w:tr>
        <w:trPr>
          <w:trHeight w:val="1433" w:hRule="atLeast"/>
        </w:trPr>
        <w:tc>
          <w:tcPr>
            <w:tcW w:w="47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1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 xml:space="preserve">1.2 </w:t>
            </w:r>
            <w:r>
              <w:rPr>
                <w:color w:val="00000A"/>
                <w:sz w:val="22"/>
                <w:szCs w:val="22"/>
              </w:rPr>
              <w:t>Защитные элементы винтомоторной группы, обеспечивающие защиту воздушных винтов при эксплуатации и контакте с препятствиями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Не менее 1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компл</w:t>
            </w:r>
          </w:p>
        </w:tc>
        <w:tc>
          <w:tcPr>
            <w:tcW w:w="793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662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</w:tr>
      <w:tr>
        <w:trPr>
          <w:trHeight w:val="185" w:hRule="atLeast"/>
        </w:trPr>
        <w:tc>
          <w:tcPr>
            <w:tcW w:w="47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1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 xml:space="preserve">1.3 </w:t>
            </w:r>
            <w:r>
              <w:rPr>
                <w:color w:val="00000A"/>
                <w:sz w:val="22"/>
                <w:szCs w:val="22"/>
              </w:rPr>
              <w:t>Опорные элементы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Не менее 4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штука</w:t>
            </w:r>
          </w:p>
        </w:tc>
        <w:tc>
          <w:tcPr>
            <w:tcW w:w="793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662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</w:tr>
      <w:tr>
        <w:trPr>
          <w:trHeight w:val="2283" w:hRule="atLeast"/>
        </w:trPr>
        <w:tc>
          <w:tcPr>
            <w:tcW w:w="47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1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tabs>
                <w:tab w:val="clear" w:pos="708"/>
                <w:tab w:val="left" w:pos="720" w:leader="none"/>
              </w:tabs>
              <w:rPr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 xml:space="preserve">1.4 </w:t>
            </w:r>
            <w:r>
              <w:rPr>
                <w:color w:val="00000A"/>
                <w:sz w:val="22"/>
                <w:szCs w:val="22"/>
              </w:rPr>
              <w:t>Комплект монтажных и крепёжных элементов, необходимых для сборки, технического обслуживания и ремонта, включающий в зависимости от конструкции (винты; гайки; крепёжные элементы; кабельные стяжки; амортизирующие элементы; элементы фиксации электронных компонентов; элементы крепления аккумуляторной батареи)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Не менее 1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компл</w:t>
            </w:r>
          </w:p>
        </w:tc>
        <w:tc>
          <w:tcPr>
            <w:tcW w:w="793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662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</w:tr>
      <w:tr>
        <w:trPr>
          <w:trHeight w:val="185" w:hRule="atLeast"/>
        </w:trPr>
        <w:tc>
          <w:tcPr>
            <w:tcW w:w="47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1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 xml:space="preserve">1.5 </w:t>
            </w:r>
            <w:r>
              <w:rPr>
                <w:color w:val="00000A"/>
                <w:sz w:val="22"/>
                <w:szCs w:val="22"/>
              </w:rPr>
              <w:t>Все конструктивные элементы должны быть взаимно совместимы и обеспечивать возможность сборки и последующей разборки системы для проведения технического обслуживания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наличие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color w:val="00000A"/>
                <w:sz w:val="22"/>
                <w:szCs w:val="22"/>
              </w:rPr>
            </w:pPr>
            <w:r>
              <w:rPr/>
            </w:r>
          </w:p>
        </w:tc>
        <w:tc>
          <w:tcPr>
            <w:tcW w:w="793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662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</w:tr>
      <w:tr>
        <w:trPr>
          <w:trHeight w:val="618" w:hRule="atLeast"/>
        </w:trPr>
        <w:tc>
          <w:tcPr>
            <w:tcW w:w="47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1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b/>
                <w:bCs/>
                <w:color w:val="00000A"/>
                <w:sz w:val="22"/>
                <w:szCs w:val="22"/>
              </w:rPr>
              <w:t>2. Комплект сменных компонентов винтомоторной группы Тип 1 в составе: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Не менее 1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компл</w:t>
            </w:r>
          </w:p>
        </w:tc>
        <w:tc>
          <w:tcPr>
            <w:tcW w:w="793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662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</w:tr>
      <w:tr>
        <w:trPr>
          <w:trHeight w:val="185" w:hRule="atLeast"/>
        </w:trPr>
        <w:tc>
          <w:tcPr>
            <w:tcW w:w="47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1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bCs/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2.1 Электродвигатель бесколлекторного типа класса 1102 либо эквивалентного типоразмера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Не менее 4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штука</w:t>
            </w:r>
          </w:p>
        </w:tc>
        <w:tc>
          <w:tcPr>
            <w:tcW w:w="793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662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</w:tr>
      <w:tr>
        <w:trPr>
          <w:trHeight w:val="185" w:hRule="atLeast"/>
        </w:trPr>
        <w:tc>
          <w:tcPr>
            <w:tcW w:w="47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1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2.1.1 Б</w:t>
            </w:r>
            <w:r>
              <w:rPr>
                <w:color w:val="00000A"/>
                <w:sz w:val="22"/>
                <w:szCs w:val="22"/>
              </w:rPr>
              <w:t>есколлекторное исполнение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наличие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color w:val="00000A"/>
                <w:sz w:val="22"/>
                <w:szCs w:val="22"/>
              </w:rPr>
            </w:pPr>
            <w:r>
              <w:rPr/>
            </w:r>
          </w:p>
        </w:tc>
        <w:tc>
          <w:tcPr>
            <w:tcW w:w="793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662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</w:tr>
      <w:tr>
        <w:trPr>
          <w:trHeight w:val="185" w:hRule="atLeast"/>
        </w:trPr>
        <w:tc>
          <w:tcPr>
            <w:tcW w:w="47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1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2.1.2 С</w:t>
            </w:r>
            <w:r>
              <w:rPr>
                <w:color w:val="00000A"/>
                <w:sz w:val="22"/>
                <w:szCs w:val="22"/>
              </w:rPr>
              <w:t>коростная характеристика — не менее 10000 KV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наличие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color w:val="00000A"/>
                <w:sz w:val="22"/>
                <w:szCs w:val="22"/>
              </w:rPr>
            </w:pPr>
            <w:r>
              <w:rPr/>
            </w:r>
          </w:p>
        </w:tc>
        <w:tc>
          <w:tcPr>
            <w:tcW w:w="793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662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</w:tr>
      <w:tr>
        <w:trPr>
          <w:trHeight w:val="185" w:hRule="atLeast"/>
        </w:trPr>
        <w:tc>
          <w:tcPr>
            <w:tcW w:w="47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1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2.1.3 С</w:t>
            </w:r>
            <w:r>
              <w:rPr>
                <w:color w:val="00000A"/>
                <w:sz w:val="22"/>
                <w:szCs w:val="22"/>
              </w:rPr>
              <w:t>овместимость с полётным контроллером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наличие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color w:val="00000A"/>
                <w:sz w:val="22"/>
                <w:szCs w:val="22"/>
              </w:rPr>
            </w:pPr>
            <w:r>
              <w:rPr/>
            </w:r>
          </w:p>
        </w:tc>
        <w:tc>
          <w:tcPr>
            <w:tcW w:w="793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662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</w:tr>
      <w:tr>
        <w:trPr/>
        <w:tc>
          <w:tcPr>
            <w:tcW w:w="47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1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2.1.4 С</w:t>
            </w:r>
            <w:r>
              <w:rPr>
                <w:color w:val="00000A"/>
                <w:sz w:val="22"/>
                <w:szCs w:val="22"/>
              </w:rPr>
              <w:t>овместимость с воздушными винтами и рамой, входящими в комплект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наличие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color w:val="00000A"/>
                <w:sz w:val="22"/>
                <w:szCs w:val="22"/>
              </w:rPr>
            </w:pPr>
            <w:r>
              <w:rPr/>
            </w:r>
          </w:p>
        </w:tc>
        <w:tc>
          <w:tcPr>
            <w:tcW w:w="793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662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</w:tr>
      <w:tr>
        <w:trPr/>
        <w:tc>
          <w:tcPr>
            <w:tcW w:w="47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1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 xml:space="preserve">2.1.5 </w:t>
            </w:r>
            <w:r>
              <w:rPr>
                <w:color w:val="00000A"/>
                <w:sz w:val="22"/>
                <w:szCs w:val="22"/>
              </w:rPr>
              <w:t>Воздушные винты четырёхлопастного типа диаметром не менее 40 мм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Не менее 4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пар</w:t>
            </w:r>
          </w:p>
        </w:tc>
        <w:tc>
          <w:tcPr>
            <w:tcW w:w="793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662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</w:tr>
      <w:tr>
        <w:trPr/>
        <w:tc>
          <w:tcPr>
            <w:tcW w:w="47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1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 xml:space="preserve">2.1.6 </w:t>
            </w:r>
            <w:r>
              <w:rPr>
                <w:color w:val="00000A"/>
                <w:sz w:val="22"/>
                <w:szCs w:val="22"/>
              </w:rPr>
              <w:t>Допускается применение воздушных винтов типа Gemfan 1636-4 либо эквивалентных по назначению, размерам и характеристикам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наличие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color w:val="00000A"/>
                <w:sz w:val="22"/>
                <w:szCs w:val="22"/>
              </w:rPr>
            </w:pPr>
            <w:r>
              <w:rPr/>
            </w:r>
          </w:p>
        </w:tc>
        <w:tc>
          <w:tcPr>
            <w:tcW w:w="793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662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</w:tr>
      <w:tr>
        <w:trPr/>
        <w:tc>
          <w:tcPr>
            <w:tcW w:w="47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1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 xml:space="preserve">2.1.7 </w:t>
            </w:r>
            <w:r>
              <w:rPr>
                <w:color w:val="00000A"/>
                <w:sz w:val="22"/>
                <w:szCs w:val="22"/>
              </w:rPr>
              <w:t>Электродвигатели и воздушные винты должны обеспечивать совместную работу с остальными компонентами ресурсного комплекта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наличие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color w:val="00000A"/>
                <w:sz w:val="22"/>
                <w:szCs w:val="22"/>
              </w:rPr>
            </w:pPr>
            <w:r>
              <w:rPr/>
            </w:r>
          </w:p>
        </w:tc>
        <w:tc>
          <w:tcPr>
            <w:tcW w:w="793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662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</w:tr>
      <w:tr>
        <w:trPr/>
        <w:tc>
          <w:tcPr>
            <w:tcW w:w="47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1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b/>
                <w:color w:val="00000A"/>
                <w:sz w:val="22"/>
                <w:szCs w:val="22"/>
              </w:rPr>
              <w:t>3.</w:t>
            </w:r>
            <w:r>
              <w:rPr>
                <w:b/>
                <w:bCs/>
                <w:color w:val="00000A"/>
                <w:sz w:val="22"/>
                <w:szCs w:val="22"/>
              </w:rPr>
              <w:t xml:space="preserve"> Электронный модуль управления Тип 1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наличие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793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662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</w:tr>
      <w:tr>
        <w:trPr>
          <w:trHeight w:val="905" w:hRule="atLeast"/>
        </w:trPr>
        <w:tc>
          <w:tcPr>
            <w:tcW w:w="47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1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 xml:space="preserve">3.1 </w:t>
            </w:r>
            <w:r>
              <w:rPr>
                <w:color w:val="00000A"/>
                <w:sz w:val="22"/>
                <w:szCs w:val="22"/>
              </w:rPr>
              <w:t>Комбинированный полётный контроллер для малогабаритной учебной FPV-системы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Не менее 1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штука</w:t>
            </w:r>
          </w:p>
        </w:tc>
        <w:tc>
          <w:tcPr>
            <w:tcW w:w="793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662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</w:tr>
      <w:tr>
        <w:trPr/>
        <w:tc>
          <w:tcPr>
            <w:tcW w:w="47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1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3.2 М</w:t>
            </w:r>
            <w:r>
              <w:rPr>
                <w:color w:val="00000A"/>
                <w:sz w:val="22"/>
                <w:szCs w:val="22"/>
              </w:rPr>
              <w:t>икроконтроллер класса STM32 F411 или выше по функциональным характеристикам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наличие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793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662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</w:tr>
      <w:tr>
        <w:trPr/>
        <w:tc>
          <w:tcPr>
            <w:tcW w:w="47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1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3.3 Интегрированный многоканальный регулятор оборотов бесколлекторных электродвигателей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наличие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793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662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</w:tr>
      <w:tr>
        <w:trPr/>
        <w:tc>
          <w:tcPr>
            <w:tcW w:w="47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1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3.4 Допустимый рабочий ток регулятора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Не менее 12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 </w:t>
            </w:r>
            <w:r>
              <w:rPr>
                <w:bCs/>
                <w:color w:val="00000A"/>
                <w:sz w:val="22"/>
                <w:szCs w:val="22"/>
              </w:rPr>
              <w:t>А</w:t>
            </w:r>
          </w:p>
        </w:tc>
        <w:tc>
          <w:tcPr>
            <w:tcW w:w="793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662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</w:tr>
      <w:tr>
        <w:trPr/>
        <w:tc>
          <w:tcPr>
            <w:tcW w:w="47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1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3.5 Поддержка управления четырьмя бесколлекторными электродвигателями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наличие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793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662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</w:tr>
      <w:tr>
        <w:trPr/>
        <w:tc>
          <w:tcPr>
            <w:tcW w:w="47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1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3.6 Встроенный радиоприёмный модуль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 xml:space="preserve">Не менее </w:t>
            </w:r>
            <w:r>
              <w:rPr>
                <w:color w:val="00000A"/>
                <w:sz w:val="22"/>
                <w:szCs w:val="22"/>
              </w:rPr>
              <w:t>1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штука</w:t>
            </w:r>
          </w:p>
        </w:tc>
        <w:tc>
          <w:tcPr>
            <w:tcW w:w="793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662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</w:tr>
      <w:tr>
        <w:trPr>
          <w:trHeight w:val="399" w:hRule="atLeast"/>
        </w:trPr>
        <w:tc>
          <w:tcPr>
            <w:tcW w:w="47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1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  <w:lang w:val="en-US"/>
              </w:rPr>
            </w:pPr>
            <w:r>
              <w:rPr>
                <w:color w:val="00000A"/>
                <w:sz w:val="22"/>
                <w:szCs w:val="22"/>
              </w:rPr>
              <w:t>3.7 Протокол радиоуправления — ExpressLRS (ELRS)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наличие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793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662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</w:tr>
      <w:tr>
        <w:trPr/>
        <w:tc>
          <w:tcPr>
            <w:tcW w:w="47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1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3.8 Рабочий диапазон радиоуправления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Не менее</w:t>
            </w:r>
            <w:r>
              <w:rPr>
                <w:color w:val="00000A"/>
                <w:sz w:val="22"/>
                <w:szCs w:val="22"/>
              </w:rPr>
              <w:t xml:space="preserve"> 2,4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ГГЦ</w:t>
            </w:r>
          </w:p>
        </w:tc>
        <w:tc>
          <w:tcPr>
            <w:tcW w:w="793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662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</w:tr>
      <w:tr>
        <w:trPr/>
        <w:tc>
          <w:tcPr>
            <w:tcW w:w="47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1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3.9 Возможность программной настройки параметров полёта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наличие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793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662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</w:tr>
      <w:tr>
        <w:trPr/>
        <w:tc>
          <w:tcPr>
            <w:tcW w:w="47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1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3.10 Возможность конфигурирования полётного контроллера с персонального компьютера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наличие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793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662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</w:tr>
      <w:tr>
        <w:trPr/>
        <w:tc>
          <w:tcPr>
            <w:tcW w:w="47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1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3.11 Возможность диагностики и восстановления параметров после ремонта или замены компонентов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наличие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793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662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</w:tr>
      <w:tr>
        <w:trPr/>
        <w:tc>
          <w:tcPr>
            <w:tcW w:w="47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1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3.12 Возможность обновления программного обеспечения/прошивки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наличие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793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662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</w:tr>
      <w:tr>
        <w:trPr/>
        <w:tc>
          <w:tcPr>
            <w:tcW w:w="47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1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3.13 Совместимость с электродвигателями и элементами питания ресурсного комплекта</w:t>
            </w:r>
            <w:r>
              <w:rPr>
                <w:b/>
                <w:bCs/>
                <w:color w:val="00000A"/>
                <w:sz w:val="22"/>
                <w:szCs w:val="22"/>
              </w:rPr>
              <w:t>: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наличие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793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662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</w:tr>
      <w:tr>
        <w:trPr/>
        <w:tc>
          <w:tcPr>
            <w:tcW w:w="47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1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3.14 Допускается применение интегрированного устройства класса F411-AIO 12A ELRS 2.4 GHz либо эквивалентного по совокупности технических и функциональных характеристик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наличие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793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662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</w:tr>
      <w:tr>
        <w:trPr/>
        <w:tc>
          <w:tcPr>
            <w:tcW w:w="47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1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b/>
                <w:color w:val="00000A"/>
                <w:sz w:val="22"/>
                <w:szCs w:val="22"/>
              </w:rPr>
              <w:t>4. Комплект</w:t>
            </w:r>
            <w:r>
              <w:rPr>
                <w:bCs/>
                <w:color w:val="00000A"/>
                <w:sz w:val="22"/>
                <w:szCs w:val="22"/>
              </w:rPr>
              <w:t xml:space="preserve"> </w:t>
            </w:r>
            <w:r>
              <w:rPr>
                <w:b/>
                <w:bCs/>
                <w:color w:val="00000A"/>
                <w:sz w:val="22"/>
                <w:szCs w:val="22"/>
              </w:rPr>
              <w:t>Компонентов FPV-видеоканала Тип 1 в составе: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Не менее</w:t>
            </w:r>
            <w:r>
              <w:rPr>
                <w:color w:val="00000A"/>
                <w:sz w:val="22"/>
                <w:szCs w:val="22"/>
              </w:rPr>
              <w:t xml:space="preserve"> 1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компл</w:t>
            </w:r>
          </w:p>
        </w:tc>
        <w:tc>
          <w:tcPr>
            <w:tcW w:w="793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662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</w:tr>
      <w:tr>
        <w:trPr>
          <w:trHeight w:val="393" w:hRule="atLeast"/>
        </w:trPr>
        <w:tc>
          <w:tcPr>
            <w:tcW w:w="47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1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4.1 Аналоговая FPV-видеокамера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Не менее</w:t>
            </w:r>
            <w:r>
              <w:rPr>
                <w:color w:val="00000A"/>
                <w:sz w:val="22"/>
                <w:szCs w:val="22"/>
              </w:rPr>
              <w:t xml:space="preserve"> 1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шт</w:t>
            </w:r>
          </w:p>
        </w:tc>
        <w:tc>
          <w:tcPr>
            <w:tcW w:w="793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662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</w:tr>
      <w:tr>
        <w:trPr>
          <w:trHeight w:val="599" w:hRule="atLeast"/>
        </w:trPr>
        <w:tc>
          <w:tcPr>
            <w:tcW w:w="47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1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4.2 Видеопередающий модуль аналогового видеосигнала диапазона 5,8 ГГц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Не менее</w:t>
            </w:r>
            <w:r>
              <w:rPr>
                <w:color w:val="00000A"/>
                <w:sz w:val="22"/>
                <w:szCs w:val="22"/>
              </w:rPr>
              <w:t xml:space="preserve"> 1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шт</w:t>
            </w:r>
          </w:p>
        </w:tc>
        <w:tc>
          <w:tcPr>
            <w:tcW w:w="793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662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</w:tr>
      <w:tr>
        <w:trPr>
          <w:trHeight w:val="354" w:hRule="atLeast"/>
        </w:trPr>
        <w:tc>
          <w:tcPr>
            <w:tcW w:w="47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1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4.3 Совместимая антенна FPV-видеоканала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Не менее</w:t>
            </w:r>
            <w:r>
              <w:rPr>
                <w:color w:val="00000A"/>
                <w:sz w:val="22"/>
                <w:szCs w:val="22"/>
              </w:rPr>
              <w:t xml:space="preserve"> 1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шт</w:t>
            </w:r>
          </w:p>
        </w:tc>
        <w:tc>
          <w:tcPr>
            <w:tcW w:w="793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662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</w:tr>
      <w:tr>
        <w:trPr/>
        <w:tc>
          <w:tcPr>
            <w:tcW w:w="47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1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4.4 Компоненты должны обеспечивать передачу изображения от установленной на FPV-системе видеокамеры на совместимое приёмное устройство в режиме реального времени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наличие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color w:val="00000A"/>
                <w:sz w:val="22"/>
                <w:szCs w:val="22"/>
                <w:highlight w:val="yellow"/>
              </w:rPr>
            </w:pPr>
            <w:r>
              <w:rPr>
                <w:color w:val="00000A"/>
                <w:sz w:val="22"/>
                <w:szCs w:val="22"/>
                <w:highlight w:val="yellow"/>
              </w:rPr>
            </w:r>
          </w:p>
        </w:tc>
        <w:tc>
          <w:tcPr>
            <w:tcW w:w="793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662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</w:tr>
      <w:tr>
        <w:trPr/>
        <w:tc>
          <w:tcPr>
            <w:tcW w:w="47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1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4.5 Должна быть предусмотрена возможность выбора рабочего видеоканала либо иная предусмотренная производителем возможность настройки частотных параметров FPV-видеоканала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наличие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color w:val="00000A"/>
                <w:sz w:val="22"/>
                <w:szCs w:val="22"/>
                <w:highlight w:val="yellow"/>
              </w:rPr>
            </w:pPr>
            <w:r>
              <w:rPr>
                <w:color w:val="00000A"/>
                <w:sz w:val="22"/>
                <w:szCs w:val="22"/>
                <w:highlight w:val="yellow"/>
              </w:rPr>
            </w:r>
          </w:p>
        </w:tc>
        <w:tc>
          <w:tcPr>
            <w:tcW w:w="793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662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</w:tr>
      <w:tr>
        <w:trPr>
          <w:trHeight w:val="815" w:hRule="atLeast"/>
        </w:trPr>
        <w:tc>
          <w:tcPr>
            <w:tcW w:w="47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1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b/>
                <w:color w:val="00000A"/>
                <w:sz w:val="22"/>
                <w:szCs w:val="22"/>
              </w:rPr>
              <w:t>5.</w:t>
            </w:r>
            <w:r>
              <w:rPr>
                <w:bCs/>
                <w:color w:val="00000A"/>
                <w:sz w:val="22"/>
                <w:szCs w:val="22"/>
              </w:rPr>
              <w:t xml:space="preserve"> </w:t>
            </w:r>
            <w:r>
              <w:rPr>
                <w:b/>
                <w:bCs/>
                <w:color w:val="00000A"/>
                <w:sz w:val="22"/>
                <w:szCs w:val="22"/>
              </w:rPr>
              <w:t>Устройство радиоуправления, настройки и диагностики Тип 1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Не менее</w:t>
            </w:r>
            <w:r>
              <w:rPr>
                <w:color w:val="00000A"/>
                <w:sz w:val="22"/>
                <w:szCs w:val="22"/>
              </w:rPr>
              <w:t xml:space="preserve"> 1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шт</w:t>
            </w:r>
          </w:p>
        </w:tc>
        <w:tc>
          <w:tcPr>
            <w:tcW w:w="793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662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</w:tr>
      <w:tr>
        <w:trPr/>
        <w:tc>
          <w:tcPr>
            <w:tcW w:w="47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1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5.1 Совместимое устройство радиоуправления, настройки и диагностики радиоканала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Не менее</w:t>
            </w:r>
            <w:r>
              <w:rPr>
                <w:color w:val="00000A"/>
                <w:sz w:val="22"/>
                <w:szCs w:val="22"/>
              </w:rPr>
              <w:t xml:space="preserve"> 1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шт</w:t>
            </w:r>
          </w:p>
        </w:tc>
        <w:tc>
          <w:tcPr>
            <w:tcW w:w="793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662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</w:tr>
      <w:tr>
        <w:trPr/>
        <w:tc>
          <w:tcPr>
            <w:tcW w:w="47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1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  <w:lang w:val="en-US"/>
              </w:rPr>
            </w:pPr>
            <w:r>
              <w:rPr>
                <w:color w:val="00000A"/>
                <w:sz w:val="22"/>
                <w:szCs w:val="22"/>
              </w:rPr>
              <w:t>5.2 Рабочий диапазон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Не менее</w:t>
            </w:r>
            <w:r>
              <w:rPr>
                <w:color w:val="00000A"/>
                <w:sz w:val="22"/>
                <w:szCs w:val="22"/>
              </w:rPr>
              <w:t xml:space="preserve"> 2,4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ГГц</w:t>
            </w:r>
          </w:p>
        </w:tc>
        <w:tc>
          <w:tcPr>
            <w:tcW w:w="793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662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</w:tr>
      <w:tr>
        <w:trPr>
          <w:trHeight w:val="177" w:hRule="atLeast"/>
        </w:trPr>
        <w:tc>
          <w:tcPr>
            <w:tcW w:w="47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1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5.3 Встроенный радиочастотный модуль с поддержкой протокола ExpressLRS (ELRS)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наличие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793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662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</w:tr>
      <w:tr>
        <w:trPr>
          <w:trHeight w:val="177" w:hRule="atLeast"/>
        </w:trPr>
        <w:tc>
          <w:tcPr>
            <w:tcW w:w="47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1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5.4 Возможность привязки к различным совместимым приёмникам ExpressLRS;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наличие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793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662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</w:tr>
      <w:tr>
        <w:trPr>
          <w:trHeight w:val="177" w:hRule="atLeast"/>
        </w:trPr>
        <w:tc>
          <w:tcPr>
            <w:tcW w:w="47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1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5.5 Количество каналов управления при поддержке соответствующим приёмным оборудованием и программной конфигурацией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Не менее 16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штука</w:t>
            </w:r>
          </w:p>
        </w:tc>
        <w:tc>
          <w:tcPr>
            <w:tcW w:w="793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662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</w:tr>
      <w:tr>
        <w:trPr>
          <w:trHeight w:val="177" w:hRule="atLeast"/>
        </w:trPr>
        <w:tc>
          <w:tcPr>
            <w:tcW w:w="47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1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5.6 Наличие программируемых органов управления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наличие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793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662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</w:tr>
      <w:tr>
        <w:trPr>
          <w:trHeight w:val="177" w:hRule="atLeast"/>
        </w:trPr>
        <w:tc>
          <w:tcPr>
            <w:tcW w:w="47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1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5.7 Наличие стиковых механизмов с бесконтактными датчиками Холла либо эквивалентной по ресурсу и точности технологией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наличие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793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662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</w:tr>
      <w:tr>
        <w:trPr>
          <w:trHeight w:val="177" w:hRule="atLeast"/>
        </w:trPr>
        <w:tc>
          <w:tcPr>
            <w:tcW w:w="47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1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  <w:lang w:val="en-US"/>
              </w:rPr>
            </w:pPr>
            <w:r>
              <w:rPr>
                <w:color w:val="00000A"/>
                <w:sz w:val="22"/>
                <w:szCs w:val="22"/>
              </w:rPr>
              <w:t>5.8 Наличие встроенного дисплея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наличие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793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662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</w:tr>
      <w:tr>
        <w:trPr>
          <w:trHeight w:val="142" w:hRule="atLeast"/>
        </w:trPr>
        <w:tc>
          <w:tcPr>
            <w:tcW w:w="47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1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5.9 Возможность программной настройки каналов управления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наличие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793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662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</w:tr>
      <w:tr>
        <w:trPr>
          <w:trHeight w:val="142" w:hRule="atLeast"/>
        </w:trPr>
        <w:tc>
          <w:tcPr>
            <w:tcW w:w="47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1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5.10 Возможность настройки микшеров, переключателей и органов управления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наличие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793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662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</w:tr>
      <w:tr>
        <w:trPr>
          <w:trHeight w:val="142" w:hRule="atLeast"/>
        </w:trPr>
        <w:tc>
          <w:tcPr>
            <w:tcW w:w="47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1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rFonts w:ascii="Roboto" w:hAnsi="Roboto" w:cs="Arial"/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5.11 Возможность создания и сохранения пользовательских моделей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Roboto" w:hAnsi="Roboto" w:cs="Arial"/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наличие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rFonts w:ascii="Roboto" w:hAnsi="Roboto" w:cs="Arial"/>
                <w:color w:val="334059"/>
                <w:sz w:val="22"/>
                <w:szCs w:val="22"/>
              </w:rPr>
            </w:pPr>
            <w:r>
              <w:rPr>
                <w:rFonts w:cs="Arial" w:ascii="Roboto" w:hAnsi="Roboto"/>
                <w:color w:val="334059"/>
                <w:sz w:val="22"/>
                <w:szCs w:val="22"/>
              </w:rPr>
            </w:r>
          </w:p>
        </w:tc>
        <w:tc>
          <w:tcPr>
            <w:tcW w:w="793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662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</w:tr>
      <w:tr>
        <w:trPr>
          <w:trHeight w:val="142" w:hRule="atLeast"/>
        </w:trPr>
        <w:tc>
          <w:tcPr>
            <w:tcW w:w="47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1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rFonts w:ascii="Roboto" w:hAnsi="Roboto" w:cs="Arial"/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5.12 Поддержка обновления программного обеспечения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Roboto" w:hAnsi="Roboto" w:cs="Arial"/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наличие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rFonts w:ascii="Roboto" w:hAnsi="Roboto" w:cs="Arial"/>
                <w:color w:val="334059"/>
                <w:sz w:val="22"/>
                <w:szCs w:val="22"/>
              </w:rPr>
            </w:pPr>
            <w:r>
              <w:rPr>
                <w:rFonts w:cs="Arial" w:ascii="Roboto" w:hAnsi="Roboto"/>
                <w:color w:val="334059"/>
                <w:sz w:val="22"/>
                <w:szCs w:val="22"/>
              </w:rPr>
            </w:r>
          </w:p>
        </w:tc>
        <w:tc>
          <w:tcPr>
            <w:tcW w:w="793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662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</w:tr>
      <w:tr>
        <w:trPr>
          <w:trHeight w:val="142" w:hRule="atLeast"/>
        </w:trPr>
        <w:tc>
          <w:tcPr>
            <w:tcW w:w="47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1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rFonts w:ascii="Roboto" w:hAnsi="Roboto" w:cs="Arial"/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5.13 Возможность подключения к персональному компьютеру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Roboto" w:hAnsi="Roboto" w:cs="Arial"/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наличие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rFonts w:ascii="Roboto" w:hAnsi="Roboto" w:cs="Arial"/>
                <w:color w:val="334059"/>
                <w:sz w:val="22"/>
                <w:szCs w:val="22"/>
              </w:rPr>
            </w:pPr>
            <w:r>
              <w:rPr>
                <w:rFonts w:cs="Arial" w:ascii="Roboto" w:hAnsi="Roboto"/>
                <w:color w:val="334059"/>
                <w:sz w:val="22"/>
                <w:szCs w:val="22"/>
              </w:rPr>
            </w:r>
          </w:p>
        </w:tc>
        <w:tc>
          <w:tcPr>
            <w:tcW w:w="793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662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</w:tr>
      <w:tr>
        <w:trPr>
          <w:trHeight w:val="142" w:hRule="atLeast"/>
        </w:trPr>
        <w:tc>
          <w:tcPr>
            <w:tcW w:w="47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1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rFonts w:ascii="Roboto" w:hAnsi="Roboto" w:cs="Arial"/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5.14 Наличие интерфейса USB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Roboto" w:hAnsi="Roboto" w:cs="Arial"/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наличие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rFonts w:ascii="Roboto" w:hAnsi="Roboto" w:cs="Arial"/>
                <w:color w:val="334059"/>
                <w:sz w:val="22"/>
                <w:szCs w:val="22"/>
              </w:rPr>
            </w:pPr>
            <w:r>
              <w:rPr>
                <w:rFonts w:cs="Arial" w:ascii="Roboto" w:hAnsi="Roboto"/>
                <w:color w:val="334059"/>
                <w:sz w:val="22"/>
                <w:szCs w:val="22"/>
              </w:rPr>
            </w:r>
          </w:p>
        </w:tc>
        <w:tc>
          <w:tcPr>
            <w:tcW w:w="793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662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</w:tr>
      <w:tr>
        <w:trPr>
          <w:trHeight w:val="142" w:hRule="atLeast"/>
        </w:trPr>
        <w:tc>
          <w:tcPr>
            <w:tcW w:w="47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1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rFonts w:ascii="Roboto" w:hAnsi="Roboto" w:cs="Arial"/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5.15 Возможность использования в качестве устройства управления в совместимых FPV-симуляторах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Roboto" w:hAnsi="Roboto" w:cs="Arial"/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наличие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rFonts w:ascii="Roboto" w:hAnsi="Roboto" w:cs="Arial"/>
                <w:color w:val="334059"/>
                <w:sz w:val="22"/>
                <w:szCs w:val="22"/>
              </w:rPr>
            </w:pPr>
            <w:r>
              <w:rPr/>
            </w:r>
          </w:p>
        </w:tc>
        <w:tc>
          <w:tcPr>
            <w:tcW w:w="793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662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</w:tr>
      <w:tr>
        <w:trPr>
          <w:trHeight w:val="142" w:hRule="atLeast"/>
        </w:trPr>
        <w:tc>
          <w:tcPr>
            <w:tcW w:w="47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1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rFonts w:ascii="Roboto" w:hAnsi="Roboto" w:cs="Arial"/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5.16 Возможность диагностики радиоканала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Roboto" w:hAnsi="Roboto" w:cs="Arial"/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наличие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rFonts w:ascii="Roboto" w:hAnsi="Roboto" w:cs="Arial"/>
                <w:color w:val="334059"/>
                <w:sz w:val="22"/>
                <w:szCs w:val="22"/>
              </w:rPr>
            </w:pPr>
            <w:r>
              <w:rPr>
                <w:rFonts w:cs="Arial" w:ascii="Roboto" w:hAnsi="Roboto"/>
                <w:color w:val="334059"/>
                <w:sz w:val="22"/>
                <w:szCs w:val="22"/>
              </w:rPr>
            </w:r>
          </w:p>
        </w:tc>
        <w:tc>
          <w:tcPr>
            <w:tcW w:w="793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662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</w:tr>
      <w:tr>
        <w:trPr>
          <w:trHeight w:val="142" w:hRule="atLeast"/>
        </w:trPr>
        <w:tc>
          <w:tcPr>
            <w:tcW w:w="47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1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rFonts w:ascii="Roboto" w:hAnsi="Roboto" w:cs="Arial"/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5.17 Питание от сменных аккумуляторных элементов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Roboto" w:hAnsi="Roboto" w:cs="Arial"/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наличие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rFonts w:ascii="Roboto" w:hAnsi="Roboto" w:cs="Arial"/>
                <w:color w:val="334059"/>
                <w:sz w:val="22"/>
                <w:szCs w:val="22"/>
              </w:rPr>
            </w:pPr>
            <w:r>
              <w:rPr>
                <w:rFonts w:cs="Arial" w:ascii="Roboto" w:hAnsi="Roboto"/>
                <w:color w:val="334059"/>
                <w:sz w:val="22"/>
                <w:szCs w:val="22"/>
              </w:rPr>
            </w:r>
          </w:p>
        </w:tc>
        <w:tc>
          <w:tcPr>
            <w:tcW w:w="793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662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</w:tr>
      <w:tr>
        <w:trPr>
          <w:trHeight w:val="142" w:hRule="atLeast"/>
        </w:trPr>
        <w:tc>
          <w:tcPr>
            <w:tcW w:w="47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1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rFonts w:ascii="Roboto" w:hAnsi="Roboto" w:cs="Arial"/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5.18 Наличие встроенной системы зарядки элементов питания через USB Type-C либо эквивалентного интерфейса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Roboto" w:hAnsi="Roboto" w:cs="Arial"/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наличие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rFonts w:ascii="Roboto" w:hAnsi="Roboto" w:cs="Arial"/>
                <w:color w:val="334059"/>
                <w:sz w:val="22"/>
                <w:szCs w:val="22"/>
              </w:rPr>
            </w:pPr>
            <w:r>
              <w:rPr>
                <w:rFonts w:cs="Arial" w:ascii="Roboto" w:hAnsi="Roboto"/>
                <w:color w:val="334059"/>
                <w:sz w:val="22"/>
                <w:szCs w:val="22"/>
              </w:rPr>
            </w:r>
          </w:p>
        </w:tc>
        <w:tc>
          <w:tcPr>
            <w:tcW w:w="793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662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</w:tr>
      <w:tr>
        <w:trPr>
          <w:trHeight w:val="142" w:hRule="atLeast"/>
        </w:trPr>
        <w:tc>
          <w:tcPr>
            <w:tcW w:w="47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1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rFonts w:ascii="Roboto" w:hAnsi="Roboto" w:cs="Arial"/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5.19 Устройство должно быть уровня RadioMaster Pocket ELRS 2.4 GHz либо эквивалентным по совокупности технических и функциональных характеристик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Roboto" w:hAnsi="Roboto" w:cs="Arial"/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наличие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rFonts w:ascii="Roboto" w:hAnsi="Roboto" w:cs="Arial"/>
                <w:color w:val="334059"/>
                <w:sz w:val="22"/>
                <w:szCs w:val="22"/>
              </w:rPr>
            </w:pPr>
            <w:r>
              <w:rPr>
                <w:rFonts w:cs="Arial" w:ascii="Roboto" w:hAnsi="Roboto"/>
                <w:color w:val="334059"/>
                <w:sz w:val="22"/>
                <w:szCs w:val="22"/>
              </w:rPr>
            </w:r>
          </w:p>
        </w:tc>
        <w:tc>
          <w:tcPr>
            <w:tcW w:w="793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662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</w:tr>
      <w:tr>
        <w:trPr>
          <w:trHeight w:val="142" w:hRule="atLeast"/>
        </w:trPr>
        <w:tc>
          <w:tcPr>
            <w:tcW w:w="47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1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rFonts w:ascii="Roboto" w:hAnsi="Roboto" w:cs="Arial"/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5.20 Не допускается замена устройства на аппаратуру начального уровня, не имеющую, полноценных возможностей настройки радиоканала либо стиковых механизмов требуемого уровня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Roboto" w:hAnsi="Roboto" w:cs="Arial"/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наличие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rFonts w:ascii="Roboto" w:hAnsi="Roboto" w:cs="Arial"/>
                <w:color w:val="334059"/>
                <w:sz w:val="22"/>
                <w:szCs w:val="22"/>
              </w:rPr>
            </w:pPr>
            <w:r>
              <w:rPr>
                <w:rFonts w:cs="Arial" w:ascii="Roboto" w:hAnsi="Roboto"/>
                <w:color w:val="334059"/>
                <w:sz w:val="22"/>
                <w:szCs w:val="22"/>
              </w:rPr>
            </w:r>
          </w:p>
        </w:tc>
        <w:tc>
          <w:tcPr>
            <w:tcW w:w="793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662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</w:tr>
      <w:tr>
        <w:trPr>
          <w:trHeight w:val="142" w:hRule="atLeast"/>
        </w:trPr>
        <w:tc>
          <w:tcPr>
            <w:tcW w:w="47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1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rFonts w:ascii="Roboto" w:hAnsi="Roboto" w:cs="Arial"/>
                <w:color w:val="00000A"/>
                <w:sz w:val="22"/>
                <w:szCs w:val="22"/>
              </w:rPr>
            </w:pPr>
            <w:r>
              <w:rPr>
                <w:b/>
                <w:color w:val="00000A"/>
                <w:sz w:val="22"/>
                <w:szCs w:val="22"/>
              </w:rPr>
              <w:t>6.</w:t>
            </w:r>
            <w:r>
              <w:rPr>
                <w:bCs/>
                <w:color w:val="00000A"/>
                <w:sz w:val="22"/>
                <w:szCs w:val="22"/>
              </w:rPr>
              <w:t xml:space="preserve"> </w:t>
            </w:r>
            <w:r>
              <w:rPr>
                <w:b/>
                <w:bCs/>
                <w:color w:val="00000A"/>
                <w:sz w:val="22"/>
                <w:szCs w:val="22"/>
              </w:rPr>
              <w:t>Средство контроля и диагностики FPV-видеоканала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Roboto" w:hAnsi="Roboto" w:cs="Arial"/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наличие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rFonts w:ascii="Roboto" w:hAnsi="Roboto" w:cs="Arial"/>
                <w:color w:val="334059"/>
                <w:sz w:val="22"/>
                <w:szCs w:val="22"/>
              </w:rPr>
            </w:pPr>
            <w:r>
              <w:rPr/>
            </w:r>
          </w:p>
        </w:tc>
        <w:tc>
          <w:tcPr>
            <w:tcW w:w="793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662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</w:tr>
      <w:tr>
        <w:trPr>
          <w:trHeight w:val="142" w:hRule="atLeast"/>
        </w:trPr>
        <w:tc>
          <w:tcPr>
            <w:tcW w:w="47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1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rFonts w:ascii="Roboto" w:hAnsi="Roboto" w:cs="Arial"/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6.1 Приёмное устройство визуального контроля аналогового FPV-видеосигнала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Roboto" w:hAnsi="Roboto" w:cs="Arial"/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 xml:space="preserve">≥ </w:t>
            </w:r>
            <w:r>
              <w:rPr>
                <w:color w:val="00000A"/>
                <w:sz w:val="22"/>
                <w:szCs w:val="22"/>
              </w:rPr>
              <w:t>1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rFonts w:ascii="Roboto" w:hAnsi="Roboto" w:cs="Arial"/>
                <w:color w:val="334059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шт</w:t>
            </w:r>
          </w:p>
        </w:tc>
        <w:tc>
          <w:tcPr>
            <w:tcW w:w="793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662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</w:tr>
      <w:tr>
        <w:trPr>
          <w:trHeight w:val="328" w:hRule="atLeast"/>
        </w:trPr>
        <w:tc>
          <w:tcPr>
            <w:tcW w:w="47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1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tabs>
                <w:tab w:val="clear" w:pos="708"/>
                <w:tab w:val="left" w:pos="0" w:leader="none"/>
              </w:tabs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6.2 Рабочий диапазон — 5,8 ГГц;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Roboto" w:hAnsi="Roboto" w:cs="Arial"/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наличие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rFonts w:ascii="Roboto" w:hAnsi="Roboto" w:cs="Arial"/>
                <w:color w:val="334059"/>
                <w:sz w:val="22"/>
                <w:szCs w:val="22"/>
              </w:rPr>
            </w:pPr>
            <w:r>
              <w:rPr/>
            </w:r>
          </w:p>
        </w:tc>
        <w:tc>
          <w:tcPr>
            <w:tcW w:w="793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662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</w:tr>
      <w:tr>
        <w:trPr>
          <w:trHeight w:val="142" w:hRule="atLeast"/>
        </w:trPr>
        <w:tc>
          <w:tcPr>
            <w:tcW w:w="47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1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rFonts w:ascii="Roboto" w:hAnsi="Roboto" w:cs="Arial"/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6.3 Совместимость с аналоговым FPV-видеопередатчиком ресурсного комплекта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Roboto" w:hAnsi="Roboto" w:cs="Arial"/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наличие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rFonts w:ascii="Roboto" w:hAnsi="Roboto" w:cs="Arial"/>
                <w:color w:val="334059"/>
                <w:sz w:val="22"/>
                <w:szCs w:val="22"/>
              </w:rPr>
            </w:pPr>
            <w:r>
              <w:rPr/>
            </w:r>
          </w:p>
        </w:tc>
        <w:tc>
          <w:tcPr>
            <w:tcW w:w="793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662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</w:tr>
      <w:tr>
        <w:trPr>
          <w:trHeight w:val="142" w:hRule="atLeast"/>
        </w:trPr>
        <w:tc>
          <w:tcPr>
            <w:tcW w:w="47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1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rFonts w:ascii="Roboto" w:hAnsi="Roboto" w:cs="Arial"/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6.4 Возможность выбора рабочего видеоканала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Roboto" w:hAnsi="Roboto" w:cs="Arial"/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наличие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rFonts w:ascii="Roboto" w:hAnsi="Roboto" w:cs="Arial"/>
                <w:color w:val="334059"/>
                <w:sz w:val="22"/>
                <w:szCs w:val="22"/>
              </w:rPr>
            </w:pPr>
            <w:r>
              <w:rPr/>
            </w:r>
          </w:p>
        </w:tc>
        <w:tc>
          <w:tcPr>
            <w:tcW w:w="793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662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</w:tr>
      <w:tr>
        <w:trPr>
          <w:trHeight w:val="142" w:hRule="atLeast"/>
        </w:trPr>
        <w:tc>
          <w:tcPr>
            <w:tcW w:w="47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1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rFonts w:ascii="Roboto" w:hAnsi="Roboto" w:cs="Arial"/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6.5 Наличие встроенного дисплея либо системы дисплеев для просмотра принимаемого изображения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Roboto" w:hAnsi="Roboto" w:cs="Arial"/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наличие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rFonts w:ascii="Roboto" w:hAnsi="Roboto" w:cs="Arial"/>
                <w:color w:val="334059"/>
                <w:sz w:val="22"/>
                <w:szCs w:val="22"/>
              </w:rPr>
            </w:pPr>
            <w:r>
              <w:rPr/>
            </w:r>
          </w:p>
        </w:tc>
        <w:tc>
          <w:tcPr>
            <w:tcW w:w="793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662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</w:tr>
      <w:tr>
        <w:trPr>
          <w:trHeight w:val="142" w:hRule="atLeast"/>
        </w:trPr>
        <w:tc>
          <w:tcPr>
            <w:tcW w:w="47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1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6.6 Наличие приёмного радиомодуля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Cs/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наличие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bCs/>
                <w:color w:val="00000A"/>
                <w:sz w:val="22"/>
                <w:szCs w:val="22"/>
              </w:rPr>
            </w:pPr>
            <w:r>
              <w:rPr/>
            </w:r>
          </w:p>
        </w:tc>
        <w:tc>
          <w:tcPr>
            <w:tcW w:w="793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662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</w:tr>
      <w:tr>
        <w:trPr>
          <w:trHeight w:val="142" w:hRule="atLeast"/>
        </w:trPr>
        <w:tc>
          <w:tcPr>
            <w:tcW w:w="47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1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6.7 Наличие одной или нескольких совместимых приёмных антенн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Cs/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наличие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bCs/>
                <w:color w:val="00000A"/>
                <w:sz w:val="22"/>
                <w:szCs w:val="22"/>
              </w:rPr>
            </w:pPr>
            <w:r>
              <w:rPr/>
            </w:r>
          </w:p>
        </w:tc>
        <w:tc>
          <w:tcPr>
            <w:tcW w:w="793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662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</w:tr>
      <w:tr>
        <w:trPr>
          <w:trHeight w:val="142" w:hRule="atLeast"/>
        </w:trPr>
        <w:tc>
          <w:tcPr>
            <w:tcW w:w="47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1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6.8 Возможность использования в режиме визуального контроля изображения с FPV-камеры в реальном времени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Cs/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наличие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bCs/>
                <w:color w:val="00000A"/>
                <w:sz w:val="22"/>
                <w:szCs w:val="22"/>
              </w:rPr>
            </w:pPr>
            <w:r>
              <w:rPr/>
            </w:r>
          </w:p>
        </w:tc>
        <w:tc>
          <w:tcPr>
            <w:tcW w:w="793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662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</w:tr>
      <w:tr>
        <w:trPr>
          <w:trHeight w:val="142" w:hRule="atLeast"/>
        </w:trPr>
        <w:tc>
          <w:tcPr>
            <w:tcW w:w="47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1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6.9 Настройки FPV-видеоканала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Cs/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наличие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bCs/>
                <w:color w:val="00000A"/>
                <w:sz w:val="22"/>
                <w:szCs w:val="22"/>
              </w:rPr>
            </w:pPr>
            <w:r>
              <w:rPr/>
            </w:r>
          </w:p>
        </w:tc>
        <w:tc>
          <w:tcPr>
            <w:tcW w:w="793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662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</w:tr>
      <w:tr>
        <w:trPr>
          <w:trHeight w:val="142" w:hRule="atLeast"/>
        </w:trPr>
        <w:tc>
          <w:tcPr>
            <w:tcW w:w="47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1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6.10 Проверки его работоспособности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Cs/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наличие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bCs/>
                <w:color w:val="00000A"/>
                <w:sz w:val="22"/>
                <w:szCs w:val="22"/>
              </w:rPr>
            </w:pPr>
            <w:r>
              <w:rPr/>
            </w:r>
          </w:p>
        </w:tc>
        <w:tc>
          <w:tcPr>
            <w:tcW w:w="793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662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</w:tr>
      <w:tr>
        <w:trPr>
          <w:trHeight w:val="142" w:hRule="atLeast"/>
        </w:trPr>
        <w:tc>
          <w:tcPr>
            <w:tcW w:w="47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1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6.11 Диагностики после ремонта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Cs/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наличие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bCs/>
                <w:color w:val="00000A"/>
                <w:sz w:val="22"/>
                <w:szCs w:val="22"/>
              </w:rPr>
            </w:pPr>
            <w:r>
              <w:rPr/>
            </w:r>
          </w:p>
        </w:tc>
        <w:tc>
          <w:tcPr>
            <w:tcW w:w="793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662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</w:tr>
      <w:tr>
        <w:trPr>
          <w:trHeight w:val="142" w:hRule="atLeast"/>
        </w:trPr>
        <w:tc>
          <w:tcPr>
            <w:tcW w:w="47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1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6.12 Визуального контроля изображения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Cs/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наличие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bCs/>
                <w:color w:val="00000A"/>
                <w:sz w:val="22"/>
                <w:szCs w:val="22"/>
              </w:rPr>
            </w:pPr>
            <w:r>
              <w:rPr/>
            </w:r>
          </w:p>
        </w:tc>
        <w:tc>
          <w:tcPr>
            <w:tcW w:w="793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662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</w:tr>
      <w:tr>
        <w:trPr>
          <w:trHeight w:val="142" w:hRule="atLeast"/>
        </w:trPr>
        <w:tc>
          <w:tcPr>
            <w:tcW w:w="47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1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6.13 Использования при практических занятиях по управлению FPV-системами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Cs/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наличие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bCs/>
                <w:color w:val="00000A"/>
                <w:sz w:val="22"/>
                <w:szCs w:val="22"/>
              </w:rPr>
            </w:pPr>
            <w:r>
              <w:rPr/>
            </w:r>
          </w:p>
        </w:tc>
        <w:tc>
          <w:tcPr>
            <w:tcW w:w="793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662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</w:tr>
      <w:tr>
        <w:trPr>
          <w:trHeight w:val="142" w:hRule="atLeast"/>
        </w:trPr>
        <w:tc>
          <w:tcPr>
            <w:tcW w:w="47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1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b/>
                <w:bCs/>
                <w:color w:val="00000A"/>
                <w:sz w:val="22"/>
                <w:szCs w:val="22"/>
              </w:rPr>
              <w:t>7. Комплект элементов электропитания Тип 1 в составе: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Cs/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Не менее</w:t>
            </w:r>
            <w:r>
              <w:rPr>
                <w:color w:val="00000A"/>
                <w:sz w:val="22"/>
                <w:szCs w:val="22"/>
              </w:rPr>
              <w:t xml:space="preserve"> 1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bCs/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компл</w:t>
            </w:r>
          </w:p>
        </w:tc>
        <w:tc>
          <w:tcPr>
            <w:tcW w:w="793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662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</w:tr>
      <w:tr>
        <w:trPr>
          <w:trHeight w:val="142" w:hRule="atLeast"/>
        </w:trPr>
        <w:tc>
          <w:tcPr>
            <w:tcW w:w="47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1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7.1 Сменная аккумуляторная батарея LiPo/LiHV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Cs/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Не менее</w:t>
            </w:r>
            <w:r>
              <w:rPr>
                <w:color w:val="00000A"/>
                <w:sz w:val="22"/>
                <w:szCs w:val="22"/>
              </w:rPr>
              <w:t xml:space="preserve"> 2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bCs/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шт</w:t>
            </w:r>
          </w:p>
        </w:tc>
        <w:tc>
          <w:tcPr>
            <w:tcW w:w="793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662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</w:tr>
      <w:tr>
        <w:trPr>
          <w:trHeight w:val="142" w:hRule="atLeast"/>
        </w:trPr>
        <w:tc>
          <w:tcPr>
            <w:tcW w:w="47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1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 xml:space="preserve">7.2 Конфигурация — </w:t>
            </w:r>
            <w:r>
              <w:rPr>
                <w:b/>
                <w:bCs/>
                <w:color w:val="00000A"/>
                <w:sz w:val="22"/>
                <w:szCs w:val="22"/>
              </w:rPr>
              <w:t>2S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Cs/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наличие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bCs/>
                <w:color w:val="00000A"/>
                <w:sz w:val="22"/>
                <w:szCs w:val="22"/>
              </w:rPr>
            </w:pPr>
            <w:r>
              <w:rPr/>
            </w:r>
          </w:p>
        </w:tc>
        <w:tc>
          <w:tcPr>
            <w:tcW w:w="793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662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</w:tr>
      <w:tr>
        <w:trPr>
          <w:trHeight w:val="142" w:hRule="atLeast"/>
        </w:trPr>
        <w:tc>
          <w:tcPr>
            <w:tcW w:w="47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1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numPr>
                <w:ilvl w:val="1"/>
                <w:numId w:val="3"/>
              </w:numPr>
              <w:rPr>
                <w:rFonts w:eastAsia="Calibri"/>
                <w:color w:val="00000A"/>
                <w:sz w:val="22"/>
                <w:szCs w:val="22"/>
              </w:rPr>
            </w:pPr>
            <w:r>
              <w:rPr>
                <w:rFonts w:eastAsia="Calibri"/>
                <w:color w:val="00000A"/>
                <w:sz w:val="22"/>
                <w:szCs w:val="22"/>
              </w:rPr>
              <w:t>Номинальная ёмкость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 xml:space="preserve"> </w:t>
            </w:r>
            <w:r>
              <w:rPr>
                <w:color w:val="00000A"/>
                <w:sz w:val="22"/>
                <w:szCs w:val="22"/>
              </w:rPr>
              <w:t>не менее 300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мА·ч</w:t>
            </w:r>
          </w:p>
        </w:tc>
        <w:tc>
          <w:tcPr>
            <w:tcW w:w="793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662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</w:tr>
      <w:tr>
        <w:trPr>
          <w:trHeight w:val="142" w:hRule="atLeast"/>
        </w:trPr>
        <w:tc>
          <w:tcPr>
            <w:tcW w:w="47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1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7.4 Токовая характеристика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Cs/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Не менее 80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bCs/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С</w:t>
            </w:r>
          </w:p>
        </w:tc>
        <w:tc>
          <w:tcPr>
            <w:tcW w:w="793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662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</w:tr>
      <w:tr>
        <w:trPr>
          <w:trHeight w:val="142" w:hRule="atLeast"/>
        </w:trPr>
        <w:tc>
          <w:tcPr>
            <w:tcW w:w="47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1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numPr>
                <w:ilvl w:val="1"/>
                <w:numId w:val="4"/>
              </w:numPr>
              <w:rPr>
                <w:rFonts w:ascii="Calibri" w:hAnsi="Calibri" w:eastAsia="Calibri"/>
                <w:color w:val="00000A"/>
                <w:sz w:val="22"/>
                <w:szCs w:val="22"/>
              </w:rPr>
            </w:pPr>
            <w:r>
              <w:rPr>
                <w:rFonts w:eastAsia="Calibri"/>
                <w:color w:val="00000A"/>
                <w:sz w:val="22"/>
                <w:szCs w:val="22"/>
              </w:rPr>
              <w:t>Тип аккумуляторной технологии — LiPo или LiHV;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Cs/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наличие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bCs/>
                <w:color w:val="00000A"/>
                <w:sz w:val="22"/>
                <w:szCs w:val="22"/>
              </w:rPr>
            </w:pPr>
            <w:r>
              <w:rPr/>
            </w:r>
          </w:p>
        </w:tc>
        <w:tc>
          <w:tcPr>
            <w:tcW w:w="793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662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</w:tr>
      <w:tr>
        <w:trPr>
          <w:trHeight w:val="142" w:hRule="atLeast"/>
        </w:trPr>
        <w:tc>
          <w:tcPr>
            <w:tcW w:w="47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1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7.6 Электрический разъём должен быть совместим с электрооборудованием FPV-системы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Cs/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наличие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bCs/>
                <w:color w:val="00000A"/>
                <w:sz w:val="22"/>
                <w:szCs w:val="22"/>
              </w:rPr>
            </w:pPr>
            <w:r>
              <w:rPr/>
            </w:r>
          </w:p>
        </w:tc>
        <w:tc>
          <w:tcPr>
            <w:tcW w:w="793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662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</w:tr>
      <w:tr>
        <w:trPr>
          <w:trHeight w:val="142" w:hRule="atLeast"/>
        </w:trPr>
        <w:tc>
          <w:tcPr>
            <w:tcW w:w="47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1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7.7 Батарея должна обеспечивать нормальную работу комплектной винтомоторной группы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Cs/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наличие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bCs/>
                <w:color w:val="00000A"/>
                <w:sz w:val="22"/>
                <w:szCs w:val="22"/>
              </w:rPr>
            </w:pPr>
            <w:r>
              <w:rPr/>
            </w:r>
          </w:p>
        </w:tc>
        <w:tc>
          <w:tcPr>
            <w:tcW w:w="793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662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</w:tr>
      <w:tr>
        <w:trPr>
          <w:trHeight w:val="142" w:hRule="atLeast"/>
        </w:trPr>
        <w:tc>
          <w:tcPr>
            <w:tcW w:w="47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1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7.8 Аккумуляторные батареи должны быть одинакового типа и взаимозаменяемыми в пределах всех шести поставляемых ресурсных комплектов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Cs/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наличие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bCs/>
                <w:color w:val="00000A"/>
                <w:sz w:val="22"/>
                <w:szCs w:val="22"/>
              </w:rPr>
            </w:pPr>
            <w:r>
              <w:rPr/>
            </w:r>
          </w:p>
        </w:tc>
        <w:tc>
          <w:tcPr>
            <w:tcW w:w="793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662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</w:tr>
      <w:tr>
        <w:trPr>
          <w:trHeight w:val="142" w:hRule="atLeast"/>
        </w:trPr>
        <w:tc>
          <w:tcPr>
            <w:tcW w:w="47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1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b/>
                <w:bCs/>
                <w:color w:val="00000A"/>
                <w:sz w:val="22"/>
                <w:szCs w:val="22"/>
              </w:rPr>
              <w:t>8. Комплект элементов питания устройства радиоуправления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Cs/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Не менее</w:t>
            </w:r>
            <w:r>
              <w:rPr>
                <w:color w:val="00000A"/>
                <w:sz w:val="22"/>
                <w:szCs w:val="22"/>
              </w:rPr>
              <w:t xml:space="preserve"> 1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bCs/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компл</w:t>
            </w:r>
          </w:p>
        </w:tc>
        <w:tc>
          <w:tcPr>
            <w:tcW w:w="793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662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</w:tr>
      <w:tr>
        <w:trPr>
          <w:trHeight w:val="142" w:hRule="atLeast"/>
        </w:trPr>
        <w:tc>
          <w:tcPr>
            <w:tcW w:w="47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1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8.1 Аккумуляторные элементы для устройства радиоуправления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Cs/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Не менее</w:t>
            </w:r>
            <w:r>
              <w:rPr>
                <w:color w:val="00000A"/>
                <w:sz w:val="22"/>
                <w:szCs w:val="22"/>
              </w:rPr>
              <w:t xml:space="preserve"> 2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bCs/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шт</w:t>
            </w:r>
          </w:p>
        </w:tc>
        <w:tc>
          <w:tcPr>
            <w:tcW w:w="793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662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</w:tr>
      <w:tr>
        <w:trPr>
          <w:trHeight w:val="142" w:hRule="atLeast"/>
        </w:trPr>
        <w:tc>
          <w:tcPr>
            <w:tcW w:w="47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1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8.2 Типоразмер — 18650 либо совместимый с поставляемым устройством радиоуправления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Cs/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наличие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bCs/>
                <w:color w:val="00000A"/>
                <w:sz w:val="22"/>
                <w:szCs w:val="22"/>
              </w:rPr>
            </w:pPr>
            <w:r>
              <w:rPr/>
            </w:r>
          </w:p>
        </w:tc>
        <w:tc>
          <w:tcPr>
            <w:tcW w:w="793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662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</w:tr>
      <w:tr>
        <w:trPr>
          <w:trHeight w:val="142" w:hRule="atLeast"/>
        </w:trPr>
        <w:tc>
          <w:tcPr>
            <w:tcW w:w="47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1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8.3 Емкость — не менее 2000 мА·ч каждый;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Cs/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наличие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bCs/>
                <w:color w:val="00000A"/>
                <w:sz w:val="22"/>
                <w:szCs w:val="22"/>
              </w:rPr>
            </w:pPr>
            <w:r>
              <w:rPr/>
            </w:r>
          </w:p>
        </w:tc>
        <w:tc>
          <w:tcPr>
            <w:tcW w:w="793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662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</w:tr>
      <w:tr>
        <w:trPr>
          <w:trHeight w:val="142" w:hRule="atLeast"/>
        </w:trPr>
        <w:tc>
          <w:tcPr>
            <w:tcW w:w="47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1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8.4 Возможность зарядки непосредственно в устройстве радиоуправления либо посредством комплектного зарядного оборудования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Cs/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наличие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bCs/>
                <w:color w:val="00000A"/>
                <w:sz w:val="22"/>
                <w:szCs w:val="22"/>
              </w:rPr>
            </w:pPr>
            <w:r>
              <w:rPr/>
            </w:r>
          </w:p>
        </w:tc>
        <w:tc>
          <w:tcPr>
            <w:tcW w:w="793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662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</w:tr>
      <w:tr>
        <w:trPr>
          <w:trHeight w:val="142" w:hRule="atLeast"/>
        </w:trPr>
        <w:tc>
          <w:tcPr>
            <w:tcW w:w="47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1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b/>
                <w:bCs/>
                <w:color w:val="00000A"/>
                <w:sz w:val="22"/>
                <w:szCs w:val="22"/>
              </w:rPr>
              <w:t>9. Комплект средств обслуживания аккумуляторных батарей в составе: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Cs/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Не менее</w:t>
            </w:r>
            <w:r>
              <w:rPr>
                <w:color w:val="00000A"/>
                <w:sz w:val="22"/>
                <w:szCs w:val="22"/>
              </w:rPr>
              <w:t xml:space="preserve"> 1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bCs/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компл</w:t>
            </w:r>
          </w:p>
        </w:tc>
        <w:tc>
          <w:tcPr>
            <w:tcW w:w="793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662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</w:tr>
      <w:tr>
        <w:trPr>
          <w:trHeight w:val="142" w:hRule="atLeast"/>
        </w:trPr>
        <w:tc>
          <w:tcPr>
            <w:tcW w:w="47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1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9.1 Зарядное устройство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Cs/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Не менее</w:t>
            </w:r>
            <w:r>
              <w:rPr>
                <w:color w:val="00000A"/>
                <w:sz w:val="22"/>
                <w:szCs w:val="22"/>
              </w:rPr>
              <w:t xml:space="preserve"> 1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bCs/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шт</w:t>
            </w:r>
          </w:p>
        </w:tc>
        <w:tc>
          <w:tcPr>
            <w:tcW w:w="793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662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</w:tr>
      <w:tr>
        <w:trPr>
          <w:trHeight w:val="142" w:hRule="atLeast"/>
        </w:trPr>
        <w:tc>
          <w:tcPr>
            <w:tcW w:w="47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1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9.2 Совместимость с полётными аккумуляторными батареями ресурсного комплекта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Cs/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наличие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bCs/>
                <w:color w:val="00000A"/>
                <w:sz w:val="22"/>
                <w:szCs w:val="22"/>
              </w:rPr>
            </w:pPr>
            <w:r>
              <w:rPr/>
            </w:r>
          </w:p>
        </w:tc>
        <w:tc>
          <w:tcPr>
            <w:tcW w:w="793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662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</w:tr>
      <w:tr>
        <w:trPr>
          <w:trHeight w:val="142" w:hRule="atLeast"/>
        </w:trPr>
        <w:tc>
          <w:tcPr>
            <w:tcW w:w="47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1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9.3 Поддержка безопасной зарядки аккумуляторных батарей соответствующего типа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Cs/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наличие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bCs/>
                <w:color w:val="00000A"/>
                <w:sz w:val="22"/>
                <w:szCs w:val="22"/>
              </w:rPr>
            </w:pPr>
            <w:r>
              <w:rPr/>
            </w:r>
          </w:p>
        </w:tc>
        <w:tc>
          <w:tcPr>
            <w:tcW w:w="793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662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</w:tr>
      <w:tr>
        <w:trPr>
          <w:trHeight w:val="142" w:hRule="atLeast"/>
        </w:trPr>
        <w:tc>
          <w:tcPr>
            <w:tcW w:w="47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1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9.4 Совместимость с LiPo/LiHV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Cs/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наличие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bCs/>
                <w:color w:val="00000A"/>
                <w:sz w:val="22"/>
                <w:szCs w:val="22"/>
              </w:rPr>
            </w:pPr>
            <w:r>
              <w:rPr/>
            </w:r>
          </w:p>
        </w:tc>
        <w:tc>
          <w:tcPr>
            <w:tcW w:w="793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662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</w:tr>
      <w:tr>
        <w:trPr>
          <w:trHeight w:val="142" w:hRule="atLeast"/>
        </w:trPr>
        <w:tc>
          <w:tcPr>
            <w:tcW w:w="47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1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9.5 Наличие необходимых силовых и балансировочных соединителей, если они предусмотрены конструкцией аккумуляторных батарей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Cs/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наличие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bCs/>
                <w:color w:val="00000A"/>
                <w:sz w:val="22"/>
                <w:szCs w:val="22"/>
              </w:rPr>
            </w:pPr>
            <w:r>
              <w:rPr/>
            </w:r>
          </w:p>
        </w:tc>
        <w:tc>
          <w:tcPr>
            <w:tcW w:w="793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662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</w:tr>
      <w:tr>
        <w:trPr>
          <w:trHeight w:val="142" w:hRule="atLeast"/>
        </w:trPr>
        <w:tc>
          <w:tcPr>
            <w:tcW w:w="47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1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9.6 Наличие кабелей, необходимых для штатной эксплуатации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Cs/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наличие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bCs/>
                <w:color w:val="00000A"/>
                <w:sz w:val="22"/>
                <w:szCs w:val="22"/>
              </w:rPr>
            </w:pPr>
            <w:r>
              <w:rPr/>
            </w:r>
          </w:p>
        </w:tc>
        <w:tc>
          <w:tcPr>
            <w:tcW w:w="793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662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</w:tr>
      <w:tr>
        <w:trPr>
          <w:trHeight w:val="142" w:hRule="atLeast"/>
        </w:trPr>
        <w:tc>
          <w:tcPr>
            <w:tcW w:w="47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1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9.6.1 Сетевой кабель питания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Cs/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Не менее</w:t>
            </w:r>
            <w:r>
              <w:rPr>
                <w:color w:val="00000A"/>
                <w:sz w:val="22"/>
                <w:szCs w:val="22"/>
              </w:rPr>
              <w:t xml:space="preserve"> 1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bCs/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шт</w:t>
            </w:r>
          </w:p>
        </w:tc>
        <w:tc>
          <w:tcPr>
            <w:tcW w:w="793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662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</w:tr>
      <w:tr>
        <w:trPr>
          <w:trHeight w:val="142" w:hRule="atLeast"/>
        </w:trPr>
        <w:tc>
          <w:tcPr>
            <w:tcW w:w="47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1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9.6.2 Кабель USB Type-C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Cs/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Не менее</w:t>
            </w:r>
            <w:r>
              <w:rPr>
                <w:color w:val="00000A"/>
                <w:sz w:val="22"/>
                <w:szCs w:val="22"/>
              </w:rPr>
              <w:t xml:space="preserve"> 1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bCs/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шт</w:t>
            </w:r>
          </w:p>
        </w:tc>
        <w:tc>
          <w:tcPr>
            <w:tcW w:w="793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662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</w:tr>
      <w:tr>
        <w:trPr>
          <w:trHeight w:val="142" w:hRule="atLeast"/>
        </w:trPr>
        <w:tc>
          <w:tcPr>
            <w:tcW w:w="47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1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9.6.3 Кабель USB Micro либо совместимый сервисный кабель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Cs/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Не менее</w:t>
            </w:r>
            <w:r>
              <w:rPr>
                <w:color w:val="00000A"/>
                <w:sz w:val="22"/>
                <w:szCs w:val="22"/>
              </w:rPr>
              <w:t xml:space="preserve"> 2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bCs/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шт</w:t>
            </w:r>
          </w:p>
        </w:tc>
        <w:tc>
          <w:tcPr>
            <w:tcW w:w="793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662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</w:tr>
      <w:tr>
        <w:trPr>
          <w:trHeight w:val="142" w:hRule="atLeast"/>
        </w:trPr>
        <w:tc>
          <w:tcPr>
            <w:tcW w:w="47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1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b/>
                <w:bCs/>
                <w:color w:val="00000A"/>
                <w:sz w:val="22"/>
                <w:szCs w:val="22"/>
              </w:rPr>
              <w:t>10. Комплект инструментов и принадлежностей Тип 1 в составе: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Cs/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Не менее</w:t>
            </w:r>
            <w:r>
              <w:rPr>
                <w:color w:val="00000A"/>
                <w:sz w:val="22"/>
                <w:szCs w:val="22"/>
              </w:rPr>
              <w:t xml:space="preserve"> 1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bCs/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компл</w:t>
            </w:r>
          </w:p>
        </w:tc>
        <w:tc>
          <w:tcPr>
            <w:tcW w:w="793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662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</w:tr>
      <w:tr>
        <w:trPr>
          <w:trHeight w:val="142" w:hRule="atLeast"/>
        </w:trPr>
        <w:tc>
          <w:tcPr>
            <w:tcW w:w="47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1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10.1 Отвёртка либо иной монтажный инструмент, соответствующий используемому крепежу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Cs/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Не менее</w:t>
            </w:r>
            <w:r>
              <w:rPr>
                <w:color w:val="00000A"/>
                <w:sz w:val="22"/>
                <w:szCs w:val="22"/>
              </w:rPr>
              <w:t xml:space="preserve"> 1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bCs/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шт</w:t>
            </w:r>
          </w:p>
        </w:tc>
        <w:tc>
          <w:tcPr>
            <w:tcW w:w="793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662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</w:tr>
      <w:tr>
        <w:trPr>
          <w:trHeight w:val="142" w:hRule="atLeast"/>
        </w:trPr>
        <w:tc>
          <w:tcPr>
            <w:tcW w:w="47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1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10.2 Комплект соединительных и крепёжных элементов.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Cs/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 xml:space="preserve">Не менее </w:t>
            </w:r>
            <w:r>
              <w:rPr>
                <w:color w:val="00000A"/>
                <w:sz w:val="22"/>
                <w:szCs w:val="22"/>
              </w:rPr>
              <w:t xml:space="preserve"> 1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bCs/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компл</w:t>
            </w:r>
          </w:p>
        </w:tc>
        <w:tc>
          <w:tcPr>
            <w:tcW w:w="793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662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</w:tr>
      <w:tr>
        <w:trPr>
          <w:trHeight w:val="142" w:hRule="atLeast"/>
        </w:trPr>
        <w:tc>
          <w:tcPr>
            <w:tcW w:w="47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1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10.3 Кейс, контейнер либо иное приспособление для хранения, учёта и транспортировки компонентов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Cs/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Не менее</w:t>
            </w:r>
            <w:r>
              <w:rPr>
                <w:color w:val="00000A"/>
                <w:sz w:val="22"/>
                <w:szCs w:val="22"/>
              </w:rPr>
              <w:t xml:space="preserve"> 1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bCs/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шт</w:t>
            </w:r>
          </w:p>
        </w:tc>
        <w:tc>
          <w:tcPr>
            <w:tcW w:w="793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662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</w:tr>
      <w:tr>
        <w:trPr>
          <w:trHeight w:val="142" w:hRule="atLeast"/>
        </w:trPr>
        <w:tc>
          <w:tcPr>
            <w:tcW w:w="47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1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10.4 Инструкция по идентификации, подключению, совместимости и безопасной эксплуатации компонентов на русском языке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Cs/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Не менее</w:t>
            </w:r>
            <w:r>
              <w:rPr>
                <w:color w:val="00000A"/>
                <w:sz w:val="22"/>
                <w:szCs w:val="22"/>
              </w:rPr>
              <w:t xml:space="preserve"> 1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bCs/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компл</w:t>
            </w:r>
          </w:p>
        </w:tc>
        <w:tc>
          <w:tcPr>
            <w:tcW w:w="793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662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</w:tr>
      <w:tr>
        <w:trPr>
          <w:trHeight w:val="142" w:hRule="atLeast"/>
        </w:trPr>
        <w:tc>
          <w:tcPr>
            <w:tcW w:w="47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1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10.5 Допускается предоставление инструкции одновременно в печатном и/или электронном виде.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Cs/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наличие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bCs/>
                <w:color w:val="00000A"/>
                <w:sz w:val="22"/>
                <w:szCs w:val="22"/>
              </w:rPr>
            </w:pPr>
            <w:r>
              <w:rPr/>
            </w:r>
          </w:p>
        </w:tc>
        <w:tc>
          <w:tcPr>
            <w:tcW w:w="793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662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</w:tr>
      <w:tr>
        <w:trPr>
          <w:trHeight w:val="142" w:hRule="atLeast"/>
        </w:trPr>
        <w:tc>
          <w:tcPr>
            <w:tcW w:w="47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1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b/>
                <w:bCs/>
                <w:color w:val="00000A"/>
                <w:sz w:val="22"/>
                <w:szCs w:val="22"/>
              </w:rPr>
              <w:t>Требования к совместимости: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Cs/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bCs/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</w:r>
          </w:p>
        </w:tc>
        <w:tc>
          <w:tcPr>
            <w:tcW w:w="793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662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</w:tr>
      <w:tr>
        <w:trPr>
          <w:trHeight w:val="142" w:hRule="atLeast"/>
        </w:trPr>
        <w:tc>
          <w:tcPr>
            <w:tcW w:w="47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1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rFonts w:ascii="Roboto" w:hAnsi="Roboto" w:cs="Arial"/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Все компоненты одного ресурсного комплекта должны быть взаимно совместимы.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Roboto" w:hAnsi="Roboto" w:cs="Arial"/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наличие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rFonts w:ascii="Roboto" w:hAnsi="Roboto" w:cs="Arial"/>
                <w:color w:val="334059"/>
                <w:sz w:val="22"/>
                <w:szCs w:val="22"/>
              </w:rPr>
            </w:pPr>
            <w:r>
              <w:rPr/>
            </w:r>
          </w:p>
        </w:tc>
        <w:tc>
          <w:tcPr>
            <w:tcW w:w="793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662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</w:tr>
      <w:tr>
        <w:trPr>
          <w:trHeight w:val="142" w:hRule="atLeast"/>
        </w:trPr>
        <w:tc>
          <w:tcPr>
            <w:tcW w:w="47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1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rFonts w:ascii="Roboto" w:hAnsi="Roboto" w:cs="Arial"/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Поставляемые компоненты должны обеспечивать возможность их совместного применения без необходимости приобретения дополнительных основных электронных модулей.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Roboto" w:hAnsi="Roboto" w:cs="Arial"/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наличие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rFonts w:ascii="Roboto" w:hAnsi="Roboto" w:cs="Arial"/>
                <w:color w:val="334059"/>
                <w:sz w:val="22"/>
                <w:szCs w:val="22"/>
              </w:rPr>
            </w:pPr>
            <w:r>
              <w:rPr/>
            </w:r>
          </w:p>
        </w:tc>
        <w:tc>
          <w:tcPr>
            <w:tcW w:w="793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662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</w:tr>
      <w:tr>
        <w:trPr>
          <w:trHeight w:val="142" w:hRule="atLeast"/>
        </w:trPr>
        <w:tc>
          <w:tcPr>
            <w:tcW w:w="47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1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rFonts w:ascii="Roboto" w:hAnsi="Roboto" w:cs="Arial"/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Полётный контроллер, радиоприёмный модуль, устройство радиоуправления, электродвигатели, воздушные винты, аккумуляторные батареи и остальные элементы должны обеспечивать штатную совместную работу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Roboto" w:hAnsi="Roboto" w:cs="Arial"/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наличие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rFonts w:ascii="Roboto" w:hAnsi="Roboto" w:cs="Arial"/>
                <w:color w:val="334059"/>
                <w:sz w:val="22"/>
                <w:szCs w:val="22"/>
              </w:rPr>
            </w:pPr>
            <w:r>
              <w:rPr/>
            </w:r>
          </w:p>
        </w:tc>
        <w:tc>
          <w:tcPr>
            <w:tcW w:w="793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662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</w:tr>
      <w:tr>
        <w:trPr>
          <w:trHeight w:val="142" w:hRule="atLeast"/>
        </w:trPr>
        <w:tc>
          <w:tcPr>
            <w:tcW w:w="47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1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rFonts w:ascii="Roboto" w:hAnsi="Roboto" w:cs="Arial"/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 xml:space="preserve">FPV-камера, видеопередающий модуль и средство визуального контроля видеосигнала должны работать в совместимом диапазоне </w:t>
            </w:r>
            <w:r>
              <w:rPr>
                <w:b/>
                <w:bCs/>
                <w:color w:val="00000A"/>
                <w:sz w:val="22"/>
                <w:szCs w:val="22"/>
              </w:rPr>
              <w:t>5,8 ГГц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Roboto" w:hAnsi="Roboto" w:cs="Arial"/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наличие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rFonts w:ascii="Roboto" w:hAnsi="Roboto" w:cs="Arial"/>
                <w:color w:val="334059"/>
                <w:sz w:val="22"/>
                <w:szCs w:val="22"/>
              </w:rPr>
            </w:pPr>
            <w:r>
              <w:rPr/>
            </w:r>
          </w:p>
        </w:tc>
        <w:tc>
          <w:tcPr>
            <w:tcW w:w="793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662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</w:tr>
      <w:tr>
        <w:trPr>
          <w:trHeight w:val="142" w:hRule="atLeast"/>
        </w:trPr>
        <w:tc>
          <w:tcPr>
            <w:tcW w:w="47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1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rFonts w:ascii="Roboto" w:hAnsi="Roboto" w:cs="Arial"/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 xml:space="preserve">Устройство радиоуправления и радиоприёмная часть FPV-системы должны поддерживать совместимый протокол </w:t>
            </w:r>
            <w:r>
              <w:rPr>
                <w:b/>
                <w:bCs/>
                <w:color w:val="00000A"/>
                <w:sz w:val="22"/>
                <w:szCs w:val="22"/>
              </w:rPr>
              <w:t>ExpressLRS 2.4 ГГц</w:t>
            </w:r>
            <w:r>
              <w:rPr>
                <w:color w:val="00000A"/>
                <w:sz w:val="22"/>
                <w:szCs w:val="22"/>
              </w:rPr>
              <w:t>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Roboto" w:hAnsi="Roboto" w:cs="Arial"/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наличие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rFonts w:ascii="Roboto" w:hAnsi="Roboto" w:cs="Arial"/>
                <w:color w:val="334059"/>
                <w:sz w:val="22"/>
                <w:szCs w:val="22"/>
              </w:rPr>
            </w:pPr>
            <w:r>
              <w:rPr/>
            </w:r>
          </w:p>
        </w:tc>
        <w:tc>
          <w:tcPr>
            <w:tcW w:w="793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662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</w:tr>
      <w:tr>
        <w:trPr>
          <w:trHeight w:val="142" w:hRule="atLeast"/>
        </w:trPr>
        <w:tc>
          <w:tcPr>
            <w:tcW w:w="47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1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2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rPr>
                <w:rFonts w:ascii="Roboto" w:hAnsi="Roboto" w:cs="Arial"/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Разъёмы аккумуляторных батарей, зарядного оборудования и силовой части FPV-системы должны быть взаимно совместимы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Roboto" w:hAnsi="Roboto" w:cs="Arial"/>
                <w:color w:val="00000A"/>
                <w:sz w:val="22"/>
                <w:szCs w:val="22"/>
              </w:rPr>
            </w:pPr>
            <w:r>
              <w:rPr>
                <w:bCs/>
                <w:color w:val="00000A"/>
                <w:sz w:val="22"/>
                <w:szCs w:val="22"/>
              </w:rPr>
              <w:t>наличие</w:t>
            </w:r>
          </w:p>
        </w:tc>
        <w:tc>
          <w:tcPr>
            <w:tcW w:w="1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jc w:val="center"/>
              <w:rPr>
                <w:rFonts w:ascii="Roboto" w:hAnsi="Roboto" w:cs="Arial"/>
                <w:color w:val="334059"/>
                <w:sz w:val="22"/>
                <w:szCs w:val="22"/>
              </w:rPr>
            </w:pPr>
            <w:r>
              <w:rPr/>
            </w:r>
          </w:p>
        </w:tc>
        <w:tc>
          <w:tcPr>
            <w:tcW w:w="793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  <w:tc>
          <w:tcPr>
            <w:tcW w:w="662" w:type="dxa"/>
            <w:vMerge w:val="continue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>
            <w:pPr>
              <w:pStyle w:val="Normal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</w:r>
          </w:p>
        </w:tc>
      </w:tr>
    </w:tbl>
    <w:p>
      <w:pPr>
        <w:pStyle w:val="Normal"/>
        <w:widowControl w:val="false"/>
        <w:ind w:left="-284" w:right="-251"/>
        <w:jc w:val="both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widowControl w:val="false"/>
        <w:ind w:left="-284" w:right="-251"/>
        <w:jc w:val="both"/>
        <w:rPr>
          <w:color w:val="000000"/>
          <w:sz w:val="22"/>
          <w:szCs w:val="22"/>
          <w:highlight w:val="yellow"/>
        </w:rPr>
      </w:pPr>
      <w:r>
        <w:rPr>
          <w:b/>
          <w:color w:val="000000"/>
          <w:sz w:val="22"/>
          <w:szCs w:val="22"/>
          <w:highlight w:val="yellow"/>
        </w:rPr>
        <w:t>2. Место поставки товара:</w:t>
      </w:r>
      <w:r>
        <w:rPr>
          <w:color w:val="000000"/>
          <w:sz w:val="22"/>
          <w:szCs w:val="22"/>
          <w:highlight w:val="yellow"/>
        </w:rPr>
        <w:t xml:space="preserve"> 413502, Саратовская область, Ершовский район, город Ершов, ул им Некрасова, зд. 7 </w:t>
      </w:r>
    </w:p>
    <w:p>
      <w:pPr>
        <w:pStyle w:val="Normal"/>
        <w:widowControl w:val="false"/>
        <w:ind w:left="-284" w:right="-251"/>
        <w:jc w:val="both"/>
        <w:rPr>
          <w:color w:val="000000"/>
          <w:sz w:val="22"/>
          <w:szCs w:val="22"/>
          <w:lang w:eastAsia="ru-RU"/>
        </w:rPr>
      </w:pPr>
      <w:r>
        <w:rPr>
          <w:b/>
          <w:color w:val="000000"/>
          <w:sz w:val="22"/>
          <w:szCs w:val="22"/>
          <w:highlight w:val="yellow"/>
        </w:rPr>
        <w:t>3. Срок поставки товара:</w:t>
      </w:r>
      <w:r>
        <w:rPr>
          <w:color w:val="000000"/>
          <w:sz w:val="22"/>
          <w:szCs w:val="22"/>
          <w:highlight w:val="yellow"/>
        </w:rPr>
        <w:t xml:space="preserve"> </w:t>
      </w:r>
      <w:r>
        <w:rPr>
          <w:color w:val="000000"/>
          <w:sz w:val="22"/>
          <w:szCs w:val="22"/>
          <w:highlight w:val="yellow"/>
          <w:lang w:eastAsia="ru-RU"/>
        </w:rPr>
        <w:t>в течение 30 календарных дней с момента заключения договора. Время доставки согласовывается с заказчиком.</w:t>
      </w:r>
    </w:p>
    <w:p>
      <w:pPr>
        <w:pStyle w:val="Normal"/>
        <w:ind w:left="-284" w:right="-284"/>
        <w:jc w:val="both"/>
        <w:rPr>
          <w:b/>
          <w:bCs/>
          <w:color w:val="000000"/>
          <w:sz w:val="22"/>
          <w:szCs w:val="22"/>
        </w:rPr>
      </w:pPr>
      <w:r>
        <w:rPr>
          <w:color w:val="000000"/>
          <w:sz w:val="22"/>
          <w:szCs w:val="22"/>
          <w:lang w:eastAsia="ru-RU"/>
        </w:rPr>
        <w:t>3.1. Доставка товара, погрузочно-разгрузочные работы, производятся силами и за счет Поставщика</w:t>
      </w:r>
    </w:p>
    <w:p>
      <w:pPr>
        <w:pStyle w:val="Docdata"/>
        <w:spacing w:before="0" w:after="0"/>
        <w:ind w:left="-284" w:right="-284"/>
        <w:jc w:val="both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4. Требования к качеству, безопасности поставляемого товара:</w:t>
      </w:r>
    </w:p>
    <w:p>
      <w:pPr>
        <w:pStyle w:val="NormalWeb"/>
        <w:spacing w:before="0" w:after="0"/>
        <w:ind w:left="-284" w:right="-28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4.1. Поставляемый товар должен соответствовать заданным функциональным и качественным характеристикам; </w:t>
      </w:r>
    </w:p>
    <w:p>
      <w:pPr>
        <w:pStyle w:val="NormalWeb"/>
        <w:spacing w:before="0" w:after="0"/>
        <w:ind w:left="-284" w:right="-28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4.2. Поставляемый товар должен быть разрешен к использованию на территории Российской Федерации, иметь торговую марку и товарный знак,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товара);</w:t>
      </w:r>
    </w:p>
    <w:p>
      <w:pPr>
        <w:pStyle w:val="NormalWeb"/>
        <w:spacing w:before="0" w:after="0"/>
        <w:ind w:left="-284" w:right="-28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4.3. Поставляемый Товар должен являться новым, ранее не использованным (все составные части Товара должны быть новыми), не должен иметь дефектов;</w:t>
      </w:r>
    </w:p>
    <w:p>
      <w:pPr>
        <w:pStyle w:val="NormalWeb"/>
        <w:spacing w:before="0" w:after="0"/>
        <w:ind w:left="-284" w:right="-28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4.4.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документации;</w:t>
      </w:r>
    </w:p>
    <w:p>
      <w:pPr>
        <w:pStyle w:val="NormalWeb"/>
        <w:spacing w:before="0" w:after="0"/>
        <w:ind w:left="-284" w:right="-284"/>
        <w:jc w:val="both"/>
        <w:rPr>
          <w:b/>
          <w:b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4.5. 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</w:p>
    <w:p>
      <w:pPr>
        <w:pStyle w:val="NormalWeb"/>
        <w:spacing w:before="0" w:after="0"/>
        <w:ind w:left="-284" w:right="-284"/>
        <w:jc w:val="both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5. Требования к упаковке и маркировке поставляемого товара:</w:t>
      </w:r>
    </w:p>
    <w:p>
      <w:pPr>
        <w:pStyle w:val="NormalWeb"/>
        <w:spacing w:before="0" w:after="0"/>
        <w:ind w:left="-284" w:right="-28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5.1. Товар поставляется в таре и упаковке, соответствующей государственным стандартам, техническим условиям, предъявляемым к поставке данного вида товара, другой нормативно-технической документации. На таре и упаковке должна содержаться отчетливая информация на русском языке;</w:t>
      </w:r>
    </w:p>
    <w:p>
      <w:pPr>
        <w:pStyle w:val="NormalWeb"/>
        <w:spacing w:before="0" w:after="0"/>
        <w:ind w:left="-284" w:right="-28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5.2. Поставщик должен обеспечить упаковку товара, способную предотвратить его повреждение или порчу во время перевозки к конечному пункту назначения – Заказчику. Тара и упаковка должны быть прочными, сухими, без нарушения целостности со специальной маркировкой;</w:t>
      </w:r>
    </w:p>
    <w:p>
      <w:pPr>
        <w:pStyle w:val="NormalWeb"/>
        <w:spacing w:before="0" w:after="0"/>
        <w:ind w:left="-284" w:right="-28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5.3. Поставщик несет ответственность за ненадлежащую упаковку, не обеспечивающую сохранность товара при его хранении и транспортировании;</w:t>
      </w:r>
    </w:p>
    <w:p>
      <w:pPr>
        <w:pStyle w:val="NormalWeb"/>
        <w:spacing w:before="0" w:after="0"/>
        <w:ind w:left="-284" w:right="-284"/>
        <w:jc w:val="both"/>
        <w:rPr>
          <w:b/>
          <w:b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5.4. Упаковка и маркировка товара должна соответствовать требованиям ГОСТ, импортный товар – международным стандартам упаковки. Маркировка товара должна содержать: наименование товара, наименование фирмы-изготовителя, юридический адрес изготовителя, дату выпуска. Маркировка упаковки должна строго соответствовать маркировке товара.</w:t>
      </w:r>
    </w:p>
    <w:p>
      <w:pPr>
        <w:pStyle w:val="NormalWeb"/>
        <w:spacing w:before="0" w:after="0"/>
        <w:ind w:left="-284" w:right="-284"/>
        <w:jc w:val="both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6. Требования к гарантийному сроку товара и (или) объему предоставления гарантий качества товара:</w:t>
      </w:r>
    </w:p>
    <w:p>
      <w:pPr>
        <w:pStyle w:val="NormalWeb"/>
        <w:spacing w:before="0" w:after="0"/>
        <w:ind w:left="-284" w:right="-28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6.1. Гарантия качества товара - в соответствии с гарантийным сроком, установленным производителем. </w:t>
      </w:r>
    </w:p>
    <w:p>
      <w:pPr>
        <w:pStyle w:val="NormalWeb"/>
        <w:spacing w:before="0" w:after="0"/>
        <w:ind w:left="-284" w:right="-28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6.2. Гарантийные обязательства должны распространяться на каждую единицу товара с момента приемки товара Заказчиком.</w:t>
      </w:r>
    </w:p>
    <w:p>
      <w:pPr>
        <w:pStyle w:val="NormalWeb"/>
        <w:spacing w:before="0" w:after="0"/>
        <w:ind w:left="-284" w:right="-284"/>
        <w:jc w:val="both"/>
        <w:rPr/>
      </w:pPr>
      <w:bookmarkStart w:id="2" w:name="_Hlk11828957"/>
      <w:r>
        <w:rPr>
          <w:color w:val="000000"/>
          <w:sz w:val="22"/>
          <w:szCs w:val="22"/>
        </w:rPr>
        <w:t>6.3. Поставщик обязан при обнаружении недостатков у поставляемого товара заменить товар ненадлежащего качества, при обнаружении некомплектности/недопоставки произвести доукомплектование/допоставку, при несоответствии товара установленному ассортименту, заменить товар на соответствующий, своим транспортом и за свой счет, в сроки, определенные договором.</w:t>
      </w:r>
      <w:bookmarkEnd w:id="2"/>
    </w:p>
    <w:sectPr>
      <w:type w:val="nextPage"/>
      <w:pgSz w:w="11906" w:h="16838"/>
      <w:pgMar w:left="1675" w:right="843" w:gutter="0" w:header="0" w:top="1134" w:footer="0" w:bottom="907"/>
      <w:pgNumType w:fmt="decimal"/>
      <w:formProt w:val="false"/>
      <w:textDirection w:val="lrTb"/>
      <w:docGrid w:type="default" w:linePitch="600" w:charSpace="4915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tarSymbol">
    <w:altName w:val="Arial Unicode MS"/>
    <w:charset w:val="cc"/>
    <w:family w:val="roman"/>
    <w:pitch w:val="variable"/>
  </w:font>
  <w:font w:name="OpenSymbol">
    <w:altName w:val="Arial Unicode MS"/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Liberation Sans">
    <w:altName w:val="Arial"/>
    <w:charset w:val="cc"/>
    <w:family w:val="roman"/>
    <w:pitch w:val="variable"/>
  </w:font>
  <w:font w:name="TimesET">
    <w:charset w:val="cc"/>
    <w:family w:val="roman"/>
    <w:pitch w:val="variable"/>
  </w:font>
  <w:font w:name="Calibri">
    <w:charset w:val="cc"/>
    <w:family w:val="roman"/>
    <w:pitch w:val="variable"/>
  </w:font>
  <w:font w:name="Segoe UI Symbol">
    <w:charset w:val="cc"/>
    <w:family w:val="roman"/>
    <w:pitch w:val="variable"/>
  </w:font>
  <w:font w:name="Roboto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207" w:hanging="360"/>
      </w:pPr>
      <w:rPr>
        <w:sz w:val="22"/>
        <w:i w:val="false"/>
        <w:b/>
        <w:szCs w:val="22"/>
        <w:iCs w:val="false"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513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233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1953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2673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393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113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4833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5553" w:hanging="180"/>
      </w:pPr>
      <w:rPr/>
    </w:lvl>
  </w:abstractNum>
  <w:abstractNum w:abstractNumId="3">
    <w:lvl w:ilvl="0">
      <w:start w:val="7"/>
      <w:numFmt w:val="decimal"/>
      <w:lvlText w:val="%1"/>
      <w:lvlJc w:val="left"/>
      <w:pPr>
        <w:tabs>
          <w:tab w:val="num" w:pos="0"/>
        </w:tabs>
        <w:ind w:left="360" w:hanging="360"/>
      </w:pPr>
      <w:rPr/>
    </w:lvl>
    <w:lvl w:ilvl="1">
      <w:start w:val="3"/>
      <w:numFmt w:val="decimal"/>
      <w:lvlText w:val="%1.%2"/>
      <w:lvlJc w:val="left"/>
      <w:pPr>
        <w:tabs>
          <w:tab w:val="num" w:pos="0"/>
        </w:tabs>
        <w:ind w:left="360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720" w:hanging="72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080" w:hanging="108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440" w:hanging="1440"/>
      </w:pPr>
      <w:rPr/>
    </w:lvl>
  </w:abstractNum>
  <w:abstractNum w:abstractNumId="4">
    <w:lvl w:ilvl="0">
      <w:start w:val="7"/>
      <w:numFmt w:val="decimal"/>
      <w:lvlText w:val="%1"/>
      <w:lvlJc w:val="left"/>
      <w:pPr>
        <w:tabs>
          <w:tab w:val="num" w:pos="0"/>
        </w:tabs>
        <w:ind w:left="360" w:hanging="360"/>
      </w:pPr>
      <w:rPr/>
    </w:lvl>
    <w:lvl w:ilvl="1">
      <w:start w:val="5"/>
      <w:numFmt w:val="decimal"/>
      <w:lvlText w:val="%1.%2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720" w:hanging="72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080" w:hanging="108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440" w:hanging="1440"/>
      </w:pPr>
      <w:rPr/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isplayBackgroundShape/>
  <w:embedSystemFonts/>
  <w:defaultTabStop w:val="708"/>
  <w:autoHyphenation w:val="true"/>
  <w:compat>
    <w:doNotExpandShiftReturn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semiHidden="0" w:unhideWhenUsed="0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eastAsia="zh-CN" w:val="ru-RU" w:bidi="ar-SA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jc w:val="center"/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pBdr>
        <w:top w:val="single" w:sz="8" w:space="1" w:color="000000"/>
        <w:left w:val="single" w:sz="8" w:space="4" w:color="000000"/>
        <w:bottom w:val="single" w:sz="8" w:space="1" w:color="000000"/>
        <w:right w:val="single" w:sz="8" w:space="4" w:color="000000"/>
      </w:pBdr>
      <w:jc w:val="center"/>
      <w:outlineLvl w:val="1"/>
    </w:pPr>
    <w:rPr>
      <w:b/>
      <w:sz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2z0" w:customStyle="1">
    <w:name w:val="WW8Num2z0"/>
    <w:qFormat/>
    <w:rPr/>
  </w:style>
  <w:style w:type="character" w:styleId="WW8Num3z0" w:customStyle="1">
    <w:name w:val="WW8Num3z0"/>
    <w:qFormat/>
    <w:rPr>
      <w:b/>
      <w:bCs/>
    </w:rPr>
  </w:style>
  <w:style w:type="character" w:styleId="WW8Num4z0" w:customStyle="1">
    <w:name w:val="WW8Num4z0"/>
    <w:qFormat/>
    <w:rPr>
      <w:b/>
      <w:bCs/>
    </w:rPr>
  </w:style>
  <w:style w:type="character" w:styleId="2" w:customStyle="1">
    <w:name w:val="Основной шрифт абзаца2"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Absatz-Standardschriftart" w:customStyle="1">
    <w:name w:val="Absatz-Standardschriftart"/>
    <w:qFormat/>
    <w:rPr/>
  </w:style>
  <w:style w:type="character" w:styleId="WW-Absatz-Standardschriftart" w:customStyle="1">
    <w:name w:val="WW-Absatz-Standardschriftart"/>
    <w:qFormat/>
    <w:rPr/>
  </w:style>
  <w:style w:type="character" w:styleId="WW-Absatz-Standardschriftart1" w:customStyle="1">
    <w:name w:val="WW-Absatz-Standardschriftart1"/>
    <w:qFormat/>
    <w:rPr/>
  </w:style>
  <w:style w:type="character" w:styleId="WW-Absatz-Standardschriftart11" w:customStyle="1">
    <w:name w:val="WW-Absatz-Standardschriftart11"/>
    <w:qFormat/>
    <w:rPr/>
  </w:style>
  <w:style w:type="character" w:styleId="WW-Absatz-Standardschriftart111" w:customStyle="1">
    <w:name w:val="WW-Absatz-Standardschriftart111"/>
    <w:qFormat/>
    <w:rPr/>
  </w:style>
  <w:style w:type="character" w:styleId="WW-Absatz-Standardschriftart1111" w:customStyle="1">
    <w:name w:val="WW-Absatz-Standardschriftart1111"/>
    <w:qFormat/>
    <w:rPr/>
  </w:style>
  <w:style w:type="character" w:styleId="WW-Absatz-Standardschriftart11111" w:customStyle="1">
    <w:name w:val="WW-Absatz-Standardschriftart11111"/>
    <w:qFormat/>
    <w:rPr/>
  </w:style>
  <w:style w:type="character" w:styleId="WW-Absatz-Standardschriftart111111" w:customStyle="1">
    <w:name w:val="WW-Absatz-Standardschriftart111111"/>
    <w:qFormat/>
    <w:rPr/>
  </w:style>
  <w:style w:type="character" w:styleId="WW-Absatz-Standardschriftart1111111" w:customStyle="1">
    <w:name w:val="WW-Absatz-Standardschriftart1111111"/>
    <w:qFormat/>
    <w:rPr/>
  </w:style>
  <w:style w:type="character" w:styleId="WW-Absatz-Standardschriftart11111111" w:customStyle="1">
    <w:name w:val="WW-Absatz-Standardschriftart11111111"/>
    <w:qFormat/>
    <w:rPr/>
  </w:style>
  <w:style w:type="character" w:styleId="WW-Absatz-Standardschriftart111111111" w:customStyle="1">
    <w:name w:val="WW-Absatz-Standardschriftart111111111"/>
    <w:qFormat/>
    <w:rPr/>
  </w:style>
  <w:style w:type="character" w:styleId="WW-Absatz-Standardschriftart1111111111" w:customStyle="1">
    <w:name w:val="WW-Absatz-Standardschriftart1111111111"/>
    <w:qFormat/>
    <w:rPr/>
  </w:style>
  <w:style w:type="character" w:styleId="WW-Absatz-Standardschriftart11111111111" w:customStyle="1">
    <w:name w:val="WW-Absatz-Standardschriftart11111111111"/>
    <w:qFormat/>
    <w:rPr/>
  </w:style>
  <w:style w:type="character" w:styleId="WW-Absatz-Standardschriftart111111111111" w:customStyle="1">
    <w:name w:val="WW-Absatz-Standardschriftart111111111111"/>
    <w:qFormat/>
    <w:rPr/>
  </w:style>
  <w:style w:type="character" w:styleId="WW-Absatz-Standardschriftart1111111111111" w:customStyle="1">
    <w:name w:val="WW-Absatz-Standardschriftart1111111111111"/>
    <w:qFormat/>
    <w:rPr/>
  </w:style>
  <w:style w:type="character" w:styleId="WW-Absatz-Standardschriftart11111111111111" w:customStyle="1">
    <w:name w:val="WW-Absatz-Standardschriftart11111111111111"/>
    <w:qFormat/>
    <w:rPr/>
  </w:style>
  <w:style w:type="character" w:styleId="WW-Absatz-Standardschriftart111111111111111" w:customStyle="1">
    <w:name w:val="WW-Absatz-Standardschriftart111111111111111"/>
    <w:qFormat/>
    <w:rPr/>
  </w:style>
  <w:style w:type="character" w:styleId="WW-Absatz-Standardschriftart1111111111111111" w:customStyle="1">
    <w:name w:val="WW-Absatz-Standardschriftart1111111111111111"/>
    <w:qFormat/>
    <w:rPr/>
  </w:style>
  <w:style w:type="character" w:styleId="WW-Absatz-Standardschriftart11111111111111111" w:customStyle="1">
    <w:name w:val="WW-Absatz-Standardschriftart11111111111111111"/>
    <w:qFormat/>
    <w:rPr/>
  </w:style>
  <w:style w:type="character" w:styleId="WW-Absatz-Standardschriftart111111111111111111" w:customStyle="1">
    <w:name w:val="WW-Absatz-Standardschriftart111111111111111111"/>
    <w:qFormat/>
    <w:rPr/>
  </w:style>
  <w:style w:type="character" w:styleId="WW-Absatz-Standardschriftart1111111111111111111" w:customStyle="1">
    <w:name w:val="WW-Absatz-Standardschriftart1111111111111111111"/>
    <w:qFormat/>
    <w:rPr/>
  </w:style>
  <w:style w:type="character" w:styleId="WW-Absatz-Standardschriftart11111111111111111111" w:customStyle="1">
    <w:name w:val="WW-Absatz-Standardschriftart11111111111111111111"/>
    <w:qFormat/>
    <w:rPr/>
  </w:style>
  <w:style w:type="character" w:styleId="WW-Absatz-Standardschriftart111111111111111111111" w:customStyle="1">
    <w:name w:val="WW-Absatz-Standardschriftart111111111111111111111"/>
    <w:qFormat/>
    <w:rPr/>
  </w:style>
  <w:style w:type="character" w:styleId="WW-Absatz-Standardschriftart1111111111111111111111" w:customStyle="1">
    <w:name w:val="WW-Absatz-Standardschriftart1111111111111111111111"/>
    <w:qFormat/>
    <w:rPr/>
  </w:style>
  <w:style w:type="character" w:styleId="WW-Absatz-Standardschriftart11111111111111111111111" w:customStyle="1">
    <w:name w:val="WW-Absatz-Standardschriftart11111111111111111111111"/>
    <w:qFormat/>
    <w:rPr/>
  </w:style>
  <w:style w:type="character" w:styleId="WW-Absatz-Standardschriftart111111111111111111111111" w:customStyle="1">
    <w:name w:val="WW-Absatz-Standardschriftart111111111111111111111111"/>
    <w:qFormat/>
    <w:rPr/>
  </w:style>
  <w:style w:type="character" w:styleId="WW-Absatz-Standardschriftart1111111111111111111111111" w:customStyle="1">
    <w:name w:val="WW-Absatz-Standardschriftart1111111111111111111111111"/>
    <w:qFormat/>
    <w:rPr/>
  </w:style>
  <w:style w:type="character" w:styleId="WW-Absatz-Standardschriftart11111111111111111111111111" w:customStyle="1">
    <w:name w:val="WW-Absatz-Standardschriftart11111111111111111111111111"/>
    <w:qFormat/>
    <w:rPr/>
  </w:style>
  <w:style w:type="character" w:styleId="WW-Absatz-Standardschriftart111111111111111111111111111" w:customStyle="1">
    <w:name w:val="WW-Absatz-Standardschriftart111111111111111111111111111"/>
    <w:qFormat/>
    <w:rPr/>
  </w:style>
  <w:style w:type="character" w:styleId="WW-Absatz-Standardschriftart1111111111111111111111111111" w:customStyle="1">
    <w:name w:val="WW-Absatz-Standardschriftart1111111111111111111111111111"/>
    <w:qFormat/>
    <w:rPr/>
  </w:style>
  <w:style w:type="character" w:styleId="WW-Absatz-Standardschriftart11111111111111111111111111111" w:customStyle="1">
    <w:name w:val="WW-Absatz-Standardschriftart11111111111111111111111111111"/>
    <w:qFormat/>
    <w:rPr/>
  </w:style>
  <w:style w:type="character" w:styleId="WW-Absatz-Standardschriftart111111111111111111111111111111" w:customStyle="1">
    <w:name w:val="WW-Absatz-Standardschriftart111111111111111111111111111111"/>
    <w:qFormat/>
    <w:rPr/>
  </w:style>
  <w:style w:type="character" w:styleId="WW-Absatz-Standardschriftart1111111111111111111111111111111" w:customStyle="1">
    <w:name w:val="WW-Absatz-Standardschriftart1111111111111111111111111111111"/>
    <w:qFormat/>
    <w:rPr/>
  </w:style>
  <w:style w:type="character" w:styleId="WW-Absatz-Standardschriftart11111111111111111111111111111111" w:customStyle="1">
    <w:name w:val="WW-Absatz-Standardschriftart11111111111111111111111111111111"/>
    <w:qFormat/>
    <w:rPr/>
  </w:style>
  <w:style w:type="character" w:styleId="WW-Absatz-Standardschriftart111111111111111111111111111111111" w:customStyle="1">
    <w:name w:val="WW-Absatz-Standardschriftart111111111111111111111111111111111"/>
    <w:qFormat/>
    <w:rPr/>
  </w:style>
  <w:style w:type="character" w:styleId="WW-Absatz-Standardschriftart1111111111111111111111111111111111" w:customStyle="1">
    <w:name w:val="WW-Absatz-Standardschriftart1111111111111111111111111111111111"/>
    <w:qFormat/>
    <w:rPr/>
  </w:style>
  <w:style w:type="character" w:styleId="WW-Absatz-Standardschriftart11111111111111111111111111111111111" w:customStyle="1">
    <w:name w:val="WW-Absatz-Standardschriftart11111111111111111111111111111111111"/>
    <w:qFormat/>
    <w:rPr/>
  </w:style>
  <w:style w:type="character" w:styleId="WW-Absatz-Standardschriftart111111111111111111111111111111111111" w:customStyle="1">
    <w:name w:val="WW-Absatz-Standardschriftart111111111111111111111111111111111111"/>
    <w:qFormat/>
    <w:rPr/>
  </w:style>
  <w:style w:type="character" w:styleId="WW-Absatz-Standardschriftart1111111111111111111111111111111111111" w:customStyle="1">
    <w:name w:val="WW-Absatz-Standardschriftart1111111111111111111111111111111111111"/>
    <w:qFormat/>
    <w:rPr/>
  </w:style>
  <w:style w:type="character" w:styleId="WW-Absatz-Standardschriftart11111111111111111111111111111111111111" w:customStyle="1">
    <w:name w:val="WW-Absatz-Standardschriftart11111111111111111111111111111111111111"/>
    <w:qFormat/>
    <w:rPr/>
  </w:style>
  <w:style w:type="character" w:styleId="WW-Absatz-Standardschriftart111111111111111111111111111111111111111" w:customStyle="1">
    <w:name w:val="WW-Absatz-Standardschriftart111111111111111111111111111111111111111"/>
    <w:qFormat/>
    <w:rPr/>
  </w:style>
  <w:style w:type="character" w:styleId="WW-Absatz-Standardschriftart1111111111111111111111111111111111111111" w:customStyle="1">
    <w:name w:val="WW-Absatz-Standardschriftart1111111111111111111111111111111111111111"/>
    <w:qFormat/>
    <w:rPr/>
  </w:style>
  <w:style w:type="character" w:styleId="WW-Absatz-Standardschriftart11111111111111111111111111111111111111111" w:customStyle="1">
    <w:name w:val="WW-Absatz-Standardschriftart11111111111111111111111111111111111111111"/>
    <w:qFormat/>
    <w:rPr/>
  </w:style>
  <w:style w:type="character" w:styleId="WW-Absatz-Standardschriftart111111111111111111111111111111111111111111" w:customStyle="1">
    <w:name w:val="WW-Absatz-Standardschriftart111111111111111111111111111111111111111111"/>
    <w:qFormat/>
    <w:rPr/>
  </w:style>
  <w:style w:type="character" w:styleId="WW-Absatz-Standardschriftart1111111111111111111111111111111111111111111" w:customStyle="1">
    <w:name w:val="WW-Absatz-Standardschriftart1111111111111111111111111111111111111111111"/>
    <w:qFormat/>
    <w:rPr/>
  </w:style>
  <w:style w:type="character" w:styleId="WW-Absatz-Standardschriftart11111111111111111111111111111111111111111111" w:customStyle="1">
    <w:name w:val="WW-Absatz-Standardschriftart11111111111111111111111111111111111111111111"/>
    <w:qFormat/>
    <w:rPr/>
  </w:style>
  <w:style w:type="character" w:styleId="WW-Absatz-Standardschriftart111111111111111111111111111111111111111111111" w:customStyle="1">
    <w:name w:val="WW-Absatz-Standardschriftart111111111111111111111111111111111111111111111"/>
    <w:qFormat/>
    <w:rPr/>
  </w:style>
  <w:style w:type="character" w:styleId="WW-Absatz-Standardschriftart1111111111111111111111111111111111111111111111" w:customStyle="1">
    <w:name w:val="WW-Absatz-Standardschriftart1111111111111111111111111111111111111111111111"/>
    <w:qFormat/>
    <w:rPr/>
  </w:style>
  <w:style w:type="character" w:styleId="WW-Absatz-Standardschriftart11111111111111111111111111111111111111111111111" w:customStyle="1">
    <w:name w:val="WW-Absatz-Standardschriftart11111111111111111111111111111111111111111111111"/>
    <w:qFormat/>
    <w:rPr/>
  </w:style>
  <w:style w:type="character" w:styleId="WW-Absatz-Standardschriftart111111111111111111111111111111111111111111111111" w:customStyle="1">
    <w:name w:val="WW-Absatz-Standardschriftart111111111111111111111111111111111111111111111111"/>
    <w:qFormat/>
    <w:rPr/>
  </w:style>
  <w:style w:type="character" w:styleId="WW-Absatz-Standardschriftart1111111111111111111111111111111111111111111111111" w:customStyle="1">
    <w:name w:val="WW-Absatz-Standardschriftart1111111111111111111111111111111111111111111111111"/>
    <w:qFormat/>
    <w:rPr/>
  </w:style>
  <w:style w:type="character" w:styleId="WW-Absatz-Standardschriftart11111111111111111111111111111111111111111111111111" w:customStyle="1">
    <w:name w:val="WW-Absatz-Standardschriftart11111111111111111111111111111111111111111111111111"/>
    <w:qFormat/>
    <w:rPr/>
  </w:style>
  <w:style w:type="character" w:styleId="WW-Absatz-Standardschriftart111111111111111111111111111111111111111111111111111" w:customStyle="1">
    <w:name w:val="WW-Absatz-Standardschriftart111111111111111111111111111111111111111111111111111"/>
    <w:qFormat/>
    <w:rPr/>
  </w:style>
  <w:style w:type="character" w:styleId="WW-Absatz-Standardschriftart1111111111111111111111111111111111111111111111111111" w:customStyle="1">
    <w:name w:val="WW-Absatz-Standardschriftart1111111111111111111111111111111111111111111111111111"/>
    <w:qFormat/>
    <w:rPr/>
  </w:style>
  <w:style w:type="character" w:styleId="WW-Absatz-Standardschriftart11111111111111111111111111111111111111111111111111111" w:customStyle="1">
    <w:name w:val="WW-Absatz-Standardschriftart11111111111111111111111111111111111111111111111111111"/>
    <w:qFormat/>
    <w:rPr/>
  </w:style>
  <w:style w:type="character" w:styleId="WW-Absatz-Standardschriftart111111111111111111111111111111111111111111111111111111" w:customStyle="1">
    <w:name w:val="WW-Absatz-Standardschriftart111111111111111111111111111111111111111111111111111111"/>
    <w:qFormat/>
    <w:rPr/>
  </w:style>
  <w:style w:type="character" w:styleId="WW-Absatz-Standardschriftart1111111111111111111111111111111111111111111111111111111" w:customStyle="1">
    <w:name w:val="WW-Absatz-Standardschriftart1111111111111111111111111111111111111111111111111111111"/>
    <w:qFormat/>
    <w:rPr/>
  </w:style>
  <w:style w:type="character" w:styleId="WW-Absatz-Standardschriftart11111111111111111111111111111111111111111111111111111111" w:customStyle="1">
    <w:name w:val="WW-Absatz-Standardschriftart11111111111111111111111111111111111111111111111111111111"/>
    <w:qFormat/>
    <w:rPr/>
  </w:style>
  <w:style w:type="character" w:styleId="1" w:customStyle="1">
    <w:name w:val="Основной шрифт абзаца1"/>
    <w:qFormat/>
    <w:rPr/>
  </w:style>
  <w:style w:type="character" w:styleId="Style12" w:customStyle="1">
    <w:name w:val="Символ нумерации"/>
    <w:qFormat/>
    <w:rPr/>
  </w:style>
  <w:style w:type="character" w:styleId="Style13" w:customStyle="1">
    <w:name w:val="Маркеры списка"/>
    <w:qFormat/>
    <w:rPr>
      <w:rFonts w:ascii="StarSymbol" w:hAnsi="StarSymbol" w:eastAsia="StarSymbol" w:cs="StarSymbol"/>
      <w:sz w:val="18"/>
      <w:szCs w:val="18"/>
    </w:rPr>
  </w:style>
  <w:style w:type="character" w:styleId="Hyperlink">
    <w:name w:val="Hyperlink"/>
    <w:rPr>
      <w:color w:val="000080"/>
      <w:u w:val="single"/>
    </w:rPr>
  </w:style>
  <w:style w:type="character" w:styleId="FollowedHyperlink">
    <w:name w:val="FollowedHyperlink"/>
    <w:rPr>
      <w:color w:val="800080"/>
      <w:u w:val="single"/>
    </w:rPr>
  </w:style>
  <w:style w:type="character" w:styleId="Strong">
    <w:name w:val="Strong"/>
    <w:qFormat/>
    <w:rPr>
      <w:b/>
      <w:bCs/>
    </w:rPr>
  </w:style>
  <w:style w:type="character" w:styleId="Style14" w:customStyle="1">
    <w:name w:val="Маркеры"/>
    <w:qFormat/>
    <w:rPr>
      <w:rFonts w:ascii="OpenSymbol" w:hAnsi="OpenSymbol" w:eastAsia="OpenSymbol" w:cs="OpenSymbol"/>
    </w:rPr>
  </w:style>
  <w:style w:type="character" w:styleId="Docy" w:customStyle="1">
    <w:name w:val="docy"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/>
    <w:rPr>
      <w:b/>
      <w:sz w:val="24"/>
    </w:rPr>
  </w:style>
  <w:style w:type="paragraph" w:styleId="List">
    <w:name w:val="List"/>
    <w:basedOn w:val="BodyText"/>
    <w:pPr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Arial"/>
    </w:rPr>
  </w:style>
  <w:style w:type="paragraph" w:styleId="21" w:customStyle="1">
    <w:name w:val="Заголовок2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22" w:customStyle="1">
    <w:name w:val="Указатель2"/>
    <w:basedOn w:val="Normal"/>
    <w:qFormat/>
    <w:pPr>
      <w:suppressLineNumbers/>
    </w:pPr>
    <w:rPr>
      <w:rFonts w:cs="Arial"/>
    </w:rPr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11" w:customStyle="1">
    <w:name w:val="Заголовок1"/>
    <w:basedOn w:val="Normal"/>
    <w:next w:val="BodyText"/>
    <w:qFormat/>
    <w:pPr>
      <w:keepNext w:val="true"/>
      <w:spacing w:before="240" w:after="120"/>
    </w:pPr>
    <w:rPr>
      <w:rFonts w:eastAsia="Lucida Sans Unicode" w:cs="Tahoma"/>
      <w:sz w:val="26"/>
      <w:szCs w:val="28"/>
    </w:rPr>
  </w:style>
  <w:style w:type="paragraph" w:styleId="12" w:customStyle="1">
    <w:name w:val="Название объекта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13" w:customStyle="1">
    <w:name w:val="Указатель1"/>
    <w:basedOn w:val="Normal"/>
    <w:qFormat/>
    <w:pPr>
      <w:suppressLineNumbers/>
    </w:pPr>
    <w:rPr>
      <w:rFonts w:cs="Tahoma"/>
    </w:rPr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" w:customStyle="1">
    <w:name w:val="Caption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" w:customStyle="1">
    <w:name w:val="Caption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" w:customStyle="1">
    <w:name w:val="Caption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" w:customStyle="1">
    <w:name w:val="Caption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" w:customStyle="1">
    <w:name w:val="Caption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" w:customStyle="1">
    <w:name w:val="Caption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" w:customStyle="1">
    <w:name w:val="Caption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" w:customStyle="1">
    <w:name w:val="Caption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" w:customStyle="1">
    <w:name w:val="Caption11111111111111"/>
    <w:basedOn w:val="Normal"/>
    <w:qFormat/>
    <w:pPr>
      <w:suppressLineNumbers/>
      <w:spacing w:before="120" w:after="120"/>
    </w:pPr>
    <w:rPr>
      <w:rFonts w:cs="Tahoma"/>
      <w:i/>
      <w:iCs/>
      <w:sz w:val="26"/>
      <w:szCs w:val="24"/>
    </w:rPr>
  </w:style>
  <w:style w:type="paragraph" w:styleId="211" w:customStyle="1">
    <w:name w:val="Основной текст 21"/>
    <w:basedOn w:val="Normal"/>
    <w:qFormat/>
    <w:pPr>
      <w:pBdr>
        <w:top w:val="single" w:sz="8" w:space="1" w:color="000000"/>
        <w:left w:val="single" w:sz="8" w:space="4" w:color="000000"/>
        <w:bottom w:val="single" w:sz="8" w:space="1" w:color="000000"/>
        <w:right w:val="single" w:sz="8" w:space="4" w:color="000000"/>
      </w:pBdr>
    </w:pPr>
    <w:rPr>
      <w:b/>
      <w:sz w:val="24"/>
    </w:rPr>
  </w:style>
  <w:style w:type="paragraph" w:styleId="31" w:customStyle="1">
    <w:name w:val="Основной текст 31"/>
    <w:basedOn w:val="Normal"/>
    <w:qFormat/>
    <w:pPr>
      <w:pBdr>
        <w:top w:val="single" w:sz="8" w:space="1" w:color="000000"/>
        <w:left w:val="single" w:sz="8" w:space="4" w:color="000000"/>
        <w:bottom w:val="single" w:sz="8" w:space="1" w:color="000000"/>
        <w:right w:val="single" w:sz="8" w:space="4" w:color="000000"/>
      </w:pBdr>
      <w:jc w:val="center"/>
    </w:pPr>
    <w:rPr>
      <w:b/>
      <w:sz w:val="22"/>
    </w:rPr>
  </w:style>
  <w:style w:type="paragraph" w:styleId="Style17" w:customStyle="1">
    <w:name w:val="Содержимое врезки"/>
    <w:basedOn w:val="BodyText"/>
    <w:qFormat/>
    <w:pPr/>
    <w:rPr/>
  </w:style>
  <w:style w:type="paragraph" w:styleId="Style18" w:customStyle="1">
    <w:name w:val="Содержимое таблицы"/>
    <w:basedOn w:val="Normal"/>
    <w:qFormat/>
    <w:pPr>
      <w:suppressLineNumbers/>
    </w:pPr>
    <w:rPr/>
  </w:style>
  <w:style w:type="paragraph" w:styleId="Style19" w:customStyle="1">
    <w:name w:val="Заголовок таблицы"/>
    <w:basedOn w:val="Style18"/>
    <w:qFormat/>
    <w:pPr>
      <w:jc w:val="center"/>
    </w:pPr>
    <w:rPr>
      <w:b/>
      <w:bCs/>
    </w:rPr>
  </w:style>
  <w:style w:type="paragraph" w:styleId="14" w:customStyle="1">
    <w:name w:val="Обычный1"/>
    <w:qFormat/>
    <w:pPr>
      <w:widowControl/>
      <w:suppressAutoHyphens w:val="true"/>
      <w:bidi w:val="0"/>
      <w:spacing w:before="0" w:after="0"/>
      <w:jc w:val="left"/>
    </w:pPr>
    <w:rPr>
      <w:rFonts w:ascii="TimesET" w:hAnsi="TimesET" w:cs="TimesET" w:eastAsia="Times New Roman"/>
      <w:color w:val="auto"/>
      <w:kern w:val="0"/>
      <w:sz w:val="24"/>
      <w:szCs w:val="20"/>
      <w:lang w:eastAsia="zh-CN" w:val="ru-RU" w:bidi="ar-SA"/>
    </w:rPr>
  </w:style>
  <w:style w:type="paragraph" w:styleId="ListParagraph">
    <w:name w:val="List Paragraph"/>
    <w:basedOn w:val="Normal"/>
    <w:qFormat/>
    <w:pPr>
      <w:suppressAutoHyphens w:val="false"/>
      <w:spacing w:lineRule="auto" w:line="276" w:before="0" w:after="200"/>
      <w:ind w:left="708"/>
    </w:pPr>
    <w:rPr>
      <w:rFonts w:ascii="Calibri" w:hAnsi="Calibri" w:cs="Calibri"/>
      <w:sz w:val="22"/>
      <w:szCs w:val="22"/>
    </w:rPr>
  </w:style>
  <w:style w:type="paragraph" w:styleId="NormalWeb">
    <w:name w:val="Normal (Web)"/>
    <w:basedOn w:val="Normal"/>
    <w:qFormat/>
    <w:pPr>
      <w:suppressAutoHyphens w:val="false"/>
      <w:spacing w:before="280" w:after="280"/>
    </w:pPr>
    <w:rPr>
      <w:sz w:val="24"/>
      <w:szCs w:val="24"/>
    </w:rPr>
  </w:style>
  <w:style w:type="paragraph" w:styleId="Docdata" w:customStyle="1">
    <w:name w:val="docdata"/>
    <w:basedOn w:val="Normal"/>
    <w:qFormat/>
    <w:pPr>
      <w:suppressAutoHyphens w:val="false"/>
      <w:spacing w:before="280" w:after="280"/>
    </w:pPr>
    <w:rPr>
      <w:sz w:val="24"/>
      <w:szCs w:val="24"/>
    </w:rPr>
  </w:style>
  <w:style w:type="paragraph" w:styleId="Docdata1" w:customStyle="1">
    <w:name w:val="docdata1"/>
    <w:basedOn w:val="Normal"/>
    <w:qFormat/>
    <w:pPr>
      <w:spacing w:before="280" w:after="280"/>
    </w:pPr>
    <w:rPr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Application>LibreOffice/7.6.1.2$Windows_X86_64 LibreOffice_project/f5defcebd022c5bc36bbb79be232cb6926d8f674</Application>
  <AppVersion>15.0000</AppVersion>
  <Pages>10</Pages>
  <Words>1650</Words>
  <Characters>11874</Characters>
  <CharactersWithSpaces>13776</CharactersWithSpaces>
  <Paragraphs>298</Paragraphs>
  <Company>diakov.net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2026-10-07T12:21:00Z</dcterms:created>
  <dc:creator>а</dc:creator>
  <dc:description>DMK:RE1LMQEBxbXasxQ0jfQNovDkvuHd1-13tiZK_6IlCw-2aMNslAZlurxAbaesPOONaQ8V2UwtUKfSMV7UAw</dc:description>
  <dc:language>ru-RU</dc:language>
  <cp:lastModifiedBy/>
  <cp:lastPrinted>2026-05-13T10:30:00Z</cp:lastPrinted>
  <dcterms:modified xsi:type="dcterms:W3CDTF">2026-10-19T16:54:52Z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