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pos="3393" w:leader="none"/>
        </w:tabs>
        <w:jc w:val="center"/>
        <w:rPr>
          <w:b/>
          <w:b/>
          <w:sz w:val="22"/>
          <w:szCs w:val="22"/>
        </w:rPr>
      </w:pPr>
      <w:bookmarkStart w:id="0" w:name="_Ref119427085"/>
      <w:bookmarkEnd w:id="0"/>
      <w:r>
        <w:rPr>
          <w:b/>
          <w:szCs w:val="28"/>
        </w:rPr>
        <w:t xml:space="preserve"> ⁠⁠⁠​‌​‌​​‌​​‌​​​‌​‌​​‌‌​​​‌​‌​​‌‌​​​‌​​‌‌​‌​‌​‌​​​‌​‌​​​‌​‌​‌​​​​‌​​‌‌‌​‌​​​‌​​​​‌‌​‌‌​​‌​‌​‌‌‌‌​​​​‌​​​​​‌​‌‌​‌​​​​‌​​‌‌‌‌​‌‌‌​​​​​‌‌​‌‌‌‌​‌​‌‌​‌​​‌‌​‌​‌​​‌‌​​​​‌​‌‌‌​‌​‌​‌‌​‌​‌​​​‌‌​‌‌‌​‌‌​​‌​‌​‌​‌‌​​​​‌‌‌‌​​‌​​‌‌​​‌​​‌‌​​​‌‌​‌‌​‌‌‌​​‌‌​​‌​‌​‌‌​‌​​‌​‌‌​​​‌​​​‌‌​‌​​​‌​‌​​​‌​​‌‌‌​​‌​‌​‌​​​​​‌​‌​​‌​​‌​​‌​​​​‌​‌​‌​‌​‌​‌​‌‌​​‌​​​‌‌​​​‌‌​‌‌‌​​‌‌​​‌​​‌​‌​‌‌‌​‌​‌​‌​‌​‌​‌‌​‌​​‌‌‌​​​‌​‌​​‌‌‌​​‌‌​‌​​​​‌‌​​‌‌​​‌​​‌‌​​​‌​‌​​​‌​​‌‌​‌​​​​‌‌‌​​‌​‌‌‌​‌‌​​​‌‌​‌​​​‌‌​​​‌​​​‌‌‌​​‌​​‌‌​‌​‌​‌‌​‌​​​​‌‌​‌​​‌​‌‌​‌​​​​‌​‌​‌​‌​‌‌​‌‌​‌​‌​​‌​‌‌​‌​​​​‌​​​‌‌​‌‌​​‌​​​​‌​​​‌‌​​​‌​‌‌​‌‌​​​‌​‌‌​‌​​‌​​​‌​​​‌​​‌‌‌​​‌‌​‌‌​‌​‌‌‌​‌​‌​‌‌‌​​​​​‌​‌​​​​​‌​‌​‌​​​​‌‌​​‌‌​​‌‌​‌‌‌​‌​‌‌​​​​‌​​​​​‌⁠⁠⁠</w:t>
      </w:r>
      <w:r>
        <w:rPr>
          <w:b/>
          <w:sz w:val="22"/>
          <w:szCs w:val="22"/>
        </w:rPr>
        <w:t>ТЕХНИЧЕСКОЕ ЗАДАНИЕ</w:t>
      </w:r>
    </w:p>
    <w:p>
      <w:pPr>
        <w:pStyle w:val="Normal"/>
        <w:tabs>
          <w:tab w:val="clear" w:pos="708"/>
          <w:tab w:val="left" w:pos="3393" w:leader="none"/>
        </w:tabs>
        <w:jc w:val="center"/>
        <w:rPr>
          <w:sz w:val="22"/>
          <w:szCs w:val="22"/>
        </w:rPr>
      </w:pPr>
      <w:r>
        <w:rPr>
          <w:sz w:val="22"/>
          <w:szCs w:val="22"/>
        </w:rPr>
        <w:t>на поставку ГСМ через АЗС по топливным картам для нужд ГАУ ТО «Омутинский ветцентр»</w:t>
      </w:r>
    </w:p>
    <w:p>
      <w:pPr>
        <w:pStyle w:val="Normal"/>
        <w:ind w:left="360" w:hanging="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left="360" w:hanging="0"/>
        <w:jc w:val="both"/>
        <w:rPr>
          <w:bCs/>
          <w:i/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</w:r>
    </w:p>
    <w:p>
      <w:pPr>
        <w:pStyle w:val="Normal"/>
        <w:jc w:val="both"/>
        <w:rPr>
          <w:bCs/>
          <w:i/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t>Таблица применения Постановления Правительства РФ от 23.12.2024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</w:t>
      </w:r>
    </w:p>
    <w:tbl>
      <w:tblPr>
        <w:tblW w:w="991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83"/>
        <w:gridCol w:w="1371"/>
        <w:gridCol w:w="3186"/>
        <w:gridCol w:w="1119"/>
        <w:gridCol w:w="1693"/>
        <w:gridCol w:w="1859"/>
      </w:tblGrid>
      <w:tr>
        <w:trPr>
          <w:trHeight w:val="345" w:hRule="atLeast"/>
        </w:trPr>
        <w:tc>
          <w:tcPr>
            <w:tcW w:w="6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eastAsia="Arial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№ </w:t>
            </w:r>
            <w:r>
              <w:rPr>
                <w:rFonts w:eastAsia="Arial"/>
                <w:b/>
                <w:bCs/>
                <w:color w:val="000000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3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eastAsia="Arial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Arial"/>
                <w:b/>
                <w:bCs/>
                <w:color w:val="000000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31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eastAsia="Arial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Arial"/>
                <w:b/>
                <w:bCs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46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eastAsia="Arial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Arial"/>
                <w:b/>
                <w:bCs/>
                <w:color w:val="000000"/>
                <w:sz w:val="20"/>
                <w:szCs w:val="20"/>
                <w:lang w:eastAsia="ru-RU"/>
              </w:rPr>
              <w:t>Национальный режим</w:t>
            </w:r>
          </w:p>
        </w:tc>
      </w:tr>
      <w:tr>
        <w:trPr>
          <w:trHeight w:val="345" w:hRule="atLeast"/>
        </w:trPr>
        <w:tc>
          <w:tcPr>
            <w:tcW w:w="68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jc w:val="both"/>
              <w:rPr>
                <w:rFonts w:eastAsia="Arial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Arial"/>
                <w:b/>
                <w:bCs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137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jc w:val="both"/>
              <w:rPr>
                <w:rFonts w:eastAsia="Arial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Arial"/>
                <w:b/>
                <w:bCs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31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jc w:val="both"/>
              <w:rPr>
                <w:rFonts w:eastAsia="Arial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Arial"/>
                <w:b/>
                <w:bCs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eastAsia="Arial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Arial"/>
                <w:b/>
                <w:bCs/>
                <w:color w:val="000000"/>
                <w:sz w:val="20"/>
                <w:szCs w:val="20"/>
                <w:lang w:eastAsia="ru-RU"/>
              </w:rPr>
              <w:t>1875 (Запрет)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eastAsia="Arial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Arial"/>
                <w:b/>
                <w:bCs/>
                <w:color w:val="000000"/>
                <w:sz w:val="20"/>
                <w:szCs w:val="20"/>
                <w:lang w:eastAsia="ru-RU"/>
              </w:rPr>
              <w:t>1875 (Ограничение)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eastAsia="Arial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Arial"/>
                <w:b/>
                <w:bCs/>
                <w:color w:val="000000"/>
                <w:sz w:val="20"/>
                <w:szCs w:val="20"/>
                <w:lang w:eastAsia="ru-RU"/>
              </w:rPr>
              <w:t>1875 (Преимущество)</w:t>
            </w:r>
          </w:p>
        </w:tc>
      </w:tr>
      <w:tr>
        <w:trPr>
          <w:trHeight w:val="231" w:hRule="atLeast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jc w:val="both"/>
              <w:rPr>
                <w:rFonts w:eastAsia="Arial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Arial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jc w:val="both"/>
              <w:rPr>
                <w:rFonts w:eastAsia="Arial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Arial"/>
                <w:bCs/>
                <w:color w:val="000000"/>
                <w:sz w:val="20"/>
                <w:szCs w:val="20"/>
                <w:lang w:eastAsia="ru-RU"/>
              </w:rPr>
              <w:t>19.20.21.125</w:t>
            </w:r>
          </w:p>
        </w:tc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rPr>
                <w:rFonts w:eastAsia="Arial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Arial"/>
                <w:bCs/>
                <w:color w:val="000000"/>
                <w:sz w:val="20"/>
                <w:szCs w:val="20"/>
                <w:lang w:eastAsia="ru-RU"/>
              </w:rPr>
              <w:t>Бензин автомобильный АИ-92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jc w:val="both"/>
              <w:rPr>
                <w:rFonts w:eastAsia="Arial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Arial"/>
                <w:bCs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jc w:val="both"/>
              <w:rPr>
                <w:rFonts w:eastAsia="Arial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Arial"/>
                <w:bCs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eastAsia="Arial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Arial" w:cs="Segoe UI Symbol" w:ascii="Segoe UI Symbol" w:hAnsi="Segoe UI Symbol"/>
                <w:bCs/>
                <w:color w:val="000000"/>
                <w:sz w:val="20"/>
                <w:szCs w:val="20"/>
                <w:lang w:eastAsia="ru-RU"/>
              </w:rPr>
              <w:t>✓</w:t>
            </w:r>
          </w:p>
        </w:tc>
      </w:tr>
      <w:tr>
        <w:trPr>
          <w:trHeight w:val="123" w:hRule="atLeast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jc w:val="both"/>
              <w:rPr>
                <w:rFonts w:eastAsia="Arial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Arial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jc w:val="both"/>
              <w:rPr>
                <w:rFonts w:eastAsia="Arial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Arial"/>
                <w:bCs/>
                <w:color w:val="000000"/>
                <w:sz w:val="20"/>
                <w:szCs w:val="20"/>
                <w:lang w:eastAsia="ru-RU"/>
              </w:rPr>
              <w:t>19.20.21.135</w:t>
            </w:r>
          </w:p>
        </w:tc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rPr>
                <w:rFonts w:eastAsia="Arial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Courier New"/>
                <w:sz w:val="20"/>
                <w:szCs w:val="20"/>
                <w:lang w:eastAsia="ru-RU"/>
              </w:rPr>
              <w:t>Бензин автомобильный АИ-95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jc w:val="both"/>
              <w:rPr>
                <w:rFonts w:eastAsia="Arial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Arial"/>
                <w:bCs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jc w:val="both"/>
              <w:rPr>
                <w:rFonts w:eastAsia="Arial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Arial"/>
                <w:bCs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eastAsia="Arial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Arial" w:cs="Segoe UI Symbol" w:ascii="Segoe UI Symbol" w:hAnsi="Segoe UI Symbol"/>
                <w:bCs/>
                <w:color w:val="000000"/>
                <w:sz w:val="20"/>
                <w:szCs w:val="20"/>
                <w:lang w:eastAsia="ru-RU"/>
              </w:rPr>
              <w:t>✓</w:t>
            </w:r>
          </w:p>
        </w:tc>
      </w:tr>
      <w:tr>
        <w:trPr>
          <w:trHeight w:val="114" w:hRule="atLeast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jc w:val="both"/>
              <w:rPr>
                <w:rFonts w:eastAsia="Arial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Arial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jc w:val="both"/>
              <w:rPr>
                <w:rFonts w:eastAsia="Arial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Arial"/>
                <w:bCs/>
                <w:color w:val="000000"/>
                <w:sz w:val="20"/>
                <w:szCs w:val="20"/>
                <w:lang w:eastAsia="ru-RU"/>
              </w:rPr>
              <w:t>19.20.21.345</w:t>
            </w:r>
          </w:p>
        </w:tc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rPr>
                <w:rFonts w:eastAsia="Arial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Arial"/>
                <w:bCs/>
                <w:color w:val="000000"/>
                <w:sz w:val="20"/>
                <w:szCs w:val="20"/>
                <w:lang w:eastAsia="ru-RU"/>
              </w:rPr>
              <w:t>Топливо дизельное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jc w:val="both"/>
              <w:rPr>
                <w:rFonts w:eastAsia="Arial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Arial"/>
                <w:bCs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jc w:val="both"/>
              <w:rPr>
                <w:rFonts w:eastAsia="Arial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Arial"/>
                <w:bCs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eastAsia="Arial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Arial" w:cs="Segoe UI Symbol" w:ascii="Segoe UI Symbol" w:hAnsi="Segoe UI Symbol"/>
                <w:bCs/>
                <w:color w:val="000000"/>
                <w:sz w:val="20"/>
                <w:szCs w:val="20"/>
                <w:lang w:eastAsia="ru-RU"/>
              </w:rPr>
              <w:t>✓</w:t>
            </w:r>
          </w:p>
        </w:tc>
      </w:tr>
    </w:tbl>
    <w:p>
      <w:pPr>
        <w:pStyle w:val="Normal"/>
        <w:ind w:left="360" w:hanging="0"/>
        <w:jc w:val="center"/>
        <w:rPr>
          <w:bCs/>
          <w:szCs w:val="28"/>
        </w:rPr>
      </w:pPr>
      <w:r>
        <w:rPr>
          <w:bCs/>
          <w:szCs w:val="28"/>
        </w:rPr>
      </w:r>
    </w:p>
    <w:p>
      <w:pPr>
        <w:pStyle w:val="Normal"/>
        <w:spacing w:before="0" w:after="120"/>
        <w:jc w:val="both"/>
        <w:rPr>
          <w:b/>
          <w:b/>
          <w:bCs/>
          <w:lang w:val="en-US"/>
        </w:rPr>
      </w:pPr>
      <w:r>
        <w:rPr>
          <w:b/>
          <w:bCs/>
        </w:rPr>
        <w:t>1. Технические характеристики товаров</w:t>
      </w:r>
    </w:p>
    <w:tbl>
      <w:tblPr>
        <w:tblW w:w="10106" w:type="dxa"/>
        <w:jc w:val="left"/>
        <w:tblInd w:w="8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56"/>
        <w:gridCol w:w="1972"/>
        <w:gridCol w:w="6109"/>
        <w:gridCol w:w="702"/>
        <w:gridCol w:w="767"/>
      </w:tblGrid>
      <w:tr>
        <w:trPr>
          <w:trHeight w:val="555" w:hRule="atLeast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b/>
                <w:b/>
                <w:sz w:val="22"/>
                <w:szCs w:val="22"/>
                <w:lang w:eastAsia="ru-RU"/>
              </w:rPr>
            </w:pPr>
            <w:r>
              <w:rPr>
                <w:b/>
                <w:bCs/>
                <w:sz w:val="22"/>
                <w:szCs w:val="22"/>
                <w:lang w:eastAsia="ru-RU"/>
              </w:rPr>
              <w:t>№</w:t>
            </w:r>
            <w:r>
              <w:rPr>
                <w:b/>
                <w:bCs/>
                <w:sz w:val="22"/>
                <w:szCs w:val="22"/>
                <w:lang w:eastAsia="ru-RU"/>
              </w:rPr>
              <w:br/>
              <w:t>п/п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b/>
                <w:b/>
                <w:sz w:val="22"/>
                <w:szCs w:val="22"/>
                <w:lang w:eastAsia="ru-RU"/>
              </w:rPr>
            </w:pPr>
            <w:r>
              <w:rPr>
                <w:b/>
                <w:bCs/>
                <w:sz w:val="22"/>
                <w:szCs w:val="22"/>
                <w:lang w:eastAsia="ru-RU"/>
              </w:rPr>
              <w:t>Наименование товара</w:t>
            </w:r>
          </w:p>
        </w:tc>
        <w:tc>
          <w:tcPr>
            <w:tcW w:w="6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b/>
                <w:b/>
                <w:sz w:val="22"/>
                <w:szCs w:val="22"/>
                <w:lang w:eastAsia="ru-RU"/>
              </w:rPr>
            </w:pPr>
            <w:r>
              <w:rPr>
                <w:b/>
                <w:bCs/>
                <w:sz w:val="22"/>
                <w:szCs w:val="22"/>
              </w:rPr>
              <w:t>Требования к качеству закупаемой продукции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b/>
                <w:b/>
                <w:sz w:val="22"/>
                <w:szCs w:val="22"/>
                <w:lang w:eastAsia="ru-RU"/>
              </w:rPr>
            </w:pPr>
            <w:r>
              <w:rPr>
                <w:b/>
                <w:bCs/>
                <w:sz w:val="22"/>
                <w:szCs w:val="22"/>
                <w:lang w:eastAsia="ru-RU"/>
              </w:rPr>
              <w:t>Ед.</w:t>
              <w:br/>
              <w:t>изм.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b/>
                <w:b/>
                <w:bCs/>
                <w:sz w:val="22"/>
                <w:szCs w:val="22"/>
                <w:lang w:eastAsia="ru-RU"/>
              </w:rPr>
            </w:pPr>
            <w:r>
              <w:rPr>
                <w:b/>
                <w:bCs/>
                <w:sz w:val="22"/>
                <w:szCs w:val="22"/>
                <w:lang w:eastAsia="ru-RU"/>
              </w:rPr>
              <w:t>Кол-во</w:t>
            </w:r>
          </w:p>
        </w:tc>
      </w:tr>
      <w:tr>
        <w:trPr>
          <w:trHeight w:val="2535" w:hRule="atLeast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both"/>
              <w:rPr>
                <w:b/>
                <w:b/>
                <w:bCs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 xml:space="preserve">Бензин автомобильный АИ-92 </w:t>
            </w:r>
          </w:p>
        </w:tc>
        <w:tc>
          <w:tcPr>
            <w:tcW w:w="6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76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Соответствие качества поставляемого Товара ГОСТ 32513-2023 «Топливо моторное, бензин неэтилированный» и/или 51105-2020 «Топлива для двигателей внутреннего сгорания. Бензин неэтилированный»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- Экологический класс –К5;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Октановое число: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- по исследовательскому методу: не менее 92,0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- по моторному методу: не менее 83,0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-Отсутствие механических примесей.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литр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10000</w:t>
            </w:r>
          </w:p>
        </w:tc>
      </w:tr>
      <w:tr>
        <w:trPr>
          <w:trHeight w:val="2591" w:hRule="atLeast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 xml:space="preserve">Бензин автомобильный АИ-95 </w:t>
            </w:r>
          </w:p>
        </w:tc>
        <w:tc>
          <w:tcPr>
            <w:tcW w:w="6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76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Соответствие качества поставляемого Товара ГОСТ 32513-2023 «Бензин автомобильный. Технические условия» и/или ГОСТ Р 51866-2002 «Топлива моторные. Бензин неэтилированный. Технические условия» Бензин неэтилированный»;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- Экологический класс –К5;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Октановое число: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- по исследовательскому методу: не менее 95,0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- по моторному методу: не менее 85,0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-Отсутствие механических примесей.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литр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3500</w:t>
            </w:r>
          </w:p>
        </w:tc>
      </w:tr>
      <w:tr>
        <w:trPr>
          <w:trHeight w:val="340" w:hRule="atLeast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Дизельное топливо</w:t>
            </w:r>
          </w:p>
        </w:tc>
        <w:tc>
          <w:tcPr>
            <w:tcW w:w="6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spacing w:lineRule="auto" w:line="276" w:before="0" w:after="0"/>
              <w:contextualSpacing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Соответствие качества поставляемого Товара ГОСТ 32511-2013 «Топливо дизельное ЕВРО. Технические условия </w:t>
            </w:r>
          </w:p>
          <w:p>
            <w:pPr>
              <w:pStyle w:val="Normal"/>
              <w:widowControl w:val="false"/>
              <w:suppressAutoHyphens w:val="false"/>
              <w:spacing w:lineRule="auto" w:line="276" w:before="0" w:after="0"/>
              <w:contextualSpacing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Экологический класс –К5</w:t>
            </w:r>
          </w:p>
          <w:p>
            <w:pPr>
              <w:pStyle w:val="Normal"/>
              <w:widowControl w:val="false"/>
              <w:suppressAutoHyphens w:val="false"/>
              <w:spacing w:lineRule="auto" w:line="276" w:before="0" w:after="0"/>
              <w:contextualSpacing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Сезонность: в зависимости от времени года (сезона), в которое приобретается топливо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литр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30000</w:t>
            </w:r>
          </w:p>
        </w:tc>
      </w:tr>
    </w:tbl>
    <w:p>
      <w:pPr>
        <w:pStyle w:val="Normal"/>
        <w:suppressAutoHyphens w:val="false"/>
        <w:jc w:val="both"/>
        <w:rPr>
          <w:b/>
          <w:b/>
          <w:bCs/>
          <w:sz w:val="22"/>
          <w:szCs w:val="22"/>
        </w:rPr>
      </w:pPr>
      <w:bookmarkStart w:id="1" w:name="_Ref119427085"/>
      <w:bookmarkEnd w:id="1"/>
      <w:r>
        <w:rPr>
          <w:b/>
          <w:bCs/>
          <w:sz w:val="22"/>
          <w:szCs w:val="22"/>
        </w:rPr>
        <w:t>*возможно изменение экологического класса топлива, реализуемого на АЗС (по Постановлению Правительства Российской Федерации от 05.08.2026 № 976 «О реализации мер, предусмотренных Указом Президента Российской Федерации от 24 июля 2026 г. № 509 «О некоторых мерах по повышению надежности топливообеспечения в Российской Федерации»). Допустимым считается реализация на АЗС нефтепродуктов экологических классов К2, К3, К4, К5 по согласованию с Заказчиком и предоставления письменного подтверждения отсутствия заявленного класса в соответствии с ГОСТ 32513-2023. При этом изменение экологических классов нефтепродуктов не является нарушением условий договора. Информация о классе реализуемого топлива размещена на АЗС в «уголке потребителя» в паспортах качества.</w:t>
      </w:r>
    </w:p>
    <w:p>
      <w:pPr>
        <w:pStyle w:val="Normal"/>
        <w:suppressAutoHyphens w:val="false"/>
        <w:jc w:val="both"/>
        <w:rPr>
          <w:bCs/>
          <w:sz w:val="22"/>
          <w:szCs w:val="22"/>
          <w:highlight w:val="yellow"/>
        </w:rPr>
      </w:pPr>
      <w:r>
        <w:rPr>
          <w:b/>
          <w:sz w:val="22"/>
          <w:szCs w:val="22"/>
          <w:highlight w:val="yellow"/>
        </w:rPr>
        <w:t xml:space="preserve">2. Место поставки товара: </w:t>
      </w:r>
      <w:r>
        <w:rPr>
          <w:bCs/>
          <w:sz w:val="22"/>
          <w:szCs w:val="22"/>
          <w:highlight w:val="yellow"/>
        </w:rPr>
        <w:t>через сеть автозаправочных станций (далее – АЗС) Поставщика, расположенных на территории Тюменской области, включенных в систему обслуживания по электронно-пластиковым (топливным) картам (обязательное наличие заправочных станций на территории АЗС с. Омутинского и с. Юргинского Тюменской области).</w:t>
      </w:r>
    </w:p>
    <w:p>
      <w:pPr>
        <w:pStyle w:val="Normal"/>
        <w:suppressAutoHyphens w:val="false"/>
        <w:jc w:val="both"/>
        <w:rPr>
          <w:rFonts w:eastAsia="Courier New"/>
          <w:sz w:val="22"/>
          <w:szCs w:val="22"/>
          <w:lang w:eastAsia="ru-RU"/>
        </w:rPr>
      </w:pPr>
      <w:r>
        <w:rPr>
          <w:b/>
          <w:sz w:val="22"/>
          <w:szCs w:val="22"/>
          <w:highlight w:val="yellow"/>
        </w:rPr>
        <w:t xml:space="preserve">3. Сроки поставки товара: </w:t>
      </w:r>
      <w:r>
        <w:rPr>
          <w:sz w:val="22"/>
          <w:szCs w:val="22"/>
          <w:highlight w:val="yellow"/>
        </w:rPr>
        <w:t>с 01.01.2027 до 31.12.2027 года. Товар отпускается ежедневно и круглосуточно.</w:t>
      </w:r>
    </w:p>
    <w:p>
      <w:pPr>
        <w:pStyle w:val="Normal"/>
        <w:suppressAutoHyphens w:val="false"/>
        <w:jc w:val="both"/>
        <w:rPr>
          <w:rFonts w:eastAsia="Courier New"/>
          <w:szCs w:val="22"/>
          <w:lang w:eastAsia="ru-RU"/>
        </w:rPr>
      </w:pPr>
      <w:r>
        <w:rPr>
          <w:sz w:val="22"/>
          <w:szCs w:val="22"/>
        </w:rPr>
        <w:t>3.1. Поставка (отпуск) топлива осуществляется с использованием топливных карт путем безналичных расчетов на АЗС, включенных в систему обслуживания по электронно-пластиковым (топливным) картам. Топливная карта должна представлять собой номерную пластиковую карту с встроенной микросхемой, предназначенной для приобретения ГСМ на АЗС Поставщика, в пределах количества денежных средств на карте с учетом установленных лимитов, с обеспечением возможности срочной блокировки утерянной карты.</w:t>
      </w:r>
      <w:r>
        <w:rPr>
          <w:rFonts w:eastAsia="Courier New"/>
          <w:szCs w:val="22"/>
          <w:lang w:eastAsia="ru-RU"/>
        </w:rPr>
        <w:t xml:space="preserve"> </w:t>
      </w:r>
    </w:p>
    <w:p>
      <w:pPr>
        <w:pStyle w:val="Normal"/>
        <w:suppressAutoHyphens w:val="false"/>
        <w:jc w:val="both"/>
        <w:rPr>
          <w:rFonts w:eastAsia="Courier New"/>
          <w:sz w:val="22"/>
          <w:szCs w:val="22"/>
          <w:lang w:eastAsia="ru-RU"/>
        </w:rPr>
      </w:pPr>
      <w:r>
        <w:rPr>
          <w:rFonts w:eastAsia="Courier New"/>
          <w:sz w:val="22"/>
          <w:szCs w:val="22"/>
          <w:lang w:eastAsia="ru-RU"/>
        </w:rPr>
        <w:t>Победитель при заключении договора предоставляет список АЗС, с указанием в нем информации о наименовании автозаправочных станций, их адреса</w:t>
      </w:r>
    </w:p>
    <w:p>
      <w:pPr>
        <w:pStyle w:val="Normal"/>
        <w:widowControl w:val="false"/>
        <w:suppressAutoHyphens w:val="false"/>
        <w:jc w:val="both"/>
        <w:rPr>
          <w:rFonts w:eastAsia="Calibri"/>
          <w:b/>
          <w:b/>
          <w:bCs/>
          <w:sz w:val="22"/>
          <w:szCs w:val="22"/>
          <w:lang w:eastAsia="ru-RU"/>
        </w:rPr>
      </w:pPr>
      <w:r>
        <w:rPr>
          <w:rFonts w:eastAsia="Calibri"/>
          <w:b/>
          <w:bCs/>
          <w:sz w:val="22"/>
          <w:szCs w:val="22"/>
          <w:lang w:eastAsia="ru-RU"/>
        </w:rPr>
        <w:t xml:space="preserve">4.Требования к качеству товаров, качественным (потребительским) свойствам товаров: </w:t>
      </w:r>
    </w:p>
    <w:p>
      <w:pPr>
        <w:pStyle w:val="Normal"/>
        <w:widowControl w:val="false"/>
        <w:suppressAutoHyphens w:val="false"/>
        <w:jc w:val="both"/>
        <w:rPr>
          <w:rFonts w:eastAsia="Calibri"/>
          <w:sz w:val="22"/>
          <w:szCs w:val="22"/>
          <w:lang w:eastAsia="ru-RU"/>
        </w:rPr>
      </w:pPr>
      <w:r>
        <w:rPr>
          <w:rFonts w:eastAsia="Calibri"/>
          <w:sz w:val="22"/>
          <w:szCs w:val="22"/>
          <w:lang w:eastAsia="ru-RU"/>
        </w:rPr>
        <w:t>4.1. Поставляемый Товар должен соответствовать требованиям, установленным решением Комиссии Таможенного союза от 18.10.2011 № 826 «О принятии технического регламента Таможенного союза «О требованиях к автомобильному и авиационному бензину, дизельному и судовому топливу, топливу для реактивных двигателей и мазуту».</w:t>
      </w:r>
    </w:p>
    <w:p>
      <w:pPr>
        <w:pStyle w:val="Normal"/>
        <w:widowControl w:val="false"/>
        <w:suppressAutoHyphens w:val="false"/>
        <w:jc w:val="both"/>
        <w:rPr>
          <w:rFonts w:eastAsia="Calibri"/>
          <w:sz w:val="22"/>
          <w:szCs w:val="22"/>
          <w:lang w:eastAsia="ru-RU"/>
        </w:rPr>
      </w:pPr>
      <w:r>
        <w:rPr>
          <w:rFonts w:eastAsia="Calibri"/>
          <w:sz w:val="22"/>
          <w:szCs w:val="22"/>
          <w:lang w:eastAsia="ru-RU"/>
        </w:rPr>
        <w:t xml:space="preserve">4.2. Поставляемая продукция по своему качеству должна соответствовать установленным стандартам качества на данный вид продукции, Товар должен соответствовать действующим нормативным документам, подтверждающим безопасность товара. </w:t>
      </w:r>
    </w:p>
    <w:p>
      <w:pPr>
        <w:pStyle w:val="Normal"/>
        <w:widowControl w:val="false"/>
        <w:suppressAutoHyphens w:val="false"/>
        <w:jc w:val="both"/>
        <w:rPr>
          <w:rFonts w:eastAsia="Calibri"/>
          <w:sz w:val="22"/>
          <w:szCs w:val="22"/>
          <w:lang w:eastAsia="ru-RU"/>
        </w:rPr>
      </w:pPr>
      <w:r>
        <w:rPr>
          <w:rFonts w:eastAsia="Calibri"/>
          <w:sz w:val="22"/>
          <w:szCs w:val="22"/>
          <w:lang w:eastAsia="ru-RU"/>
        </w:rPr>
        <w:t>4.3. Качество товара должно подтверждаться паспортом (сертификатом) качества и соответствовать требованиям ГОСТ. Паспорт (сертификат) качества должен быть подлинным или копией, заверенной подлинной печатью поставщика, печать должна быть хорошо различима и читаема.</w:t>
      </w:r>
    </w:p>
    <w:p>
      <w:pPr>
        <w:pStyle w:val="Normal"/>
        <w:widowControl w:val="false"/>
        <w:suppressAutoHyphens w:val="false"/>
        <w:jc w:val="both"/>
        <w:rPr>
          <w:rFonts w:eastAsia="Calibri"/>
          <w:sz w:val="22"/>
          <w:szCs w:val="22"/>
          <w:lang w:eastAsia="ru-RU"/>
        </w:rPr>
      </w:pPr>
      <w:r>
        <w:rPr>
          <w:rFonts w:eastAsia="Calibri"/>
          <w:sz w:val="22"/>
          <w:szCs w:val="22"/>
          <w:lang w:eastAsia="ru-RU"/>
        </w:rPr>
        <w:t>4.4. Заказчик должен иметь полный контроль над расходом нефтепродуктов и оперативный учет, а также возможность получения информации в письменной или электронной форме по выборке топлива через сеть Интернет или у оператора Поставщика в течение 12 часов. Поставщик обеспечивает заказчику ежедневный доступ к системе статистики выданных топливных карт в сети Интернет для мониторинга в режиме реального времени пополнения и расходования нефтепродуктов как группы карт выданных, так и отдельно по персональному номеру карты за любой период отчетного времени.</w:t>
      </w:r>
    </w:p>
    <w:p>
      <w:pPr>
        <w:pStyle w:val="Normal"/>
        <w:widowControl w:val="false"/>
        <w:suppressAutoHyphens w:val="false"/>
        <w:jc w:val="both"/>
        <w:rPr>
          <w:rFonts w:eastAsia="Calibri"/>
          <w:sz w:val="22"/>
          <w:szCs w:val="22"/>
          <w:lang w:eastAsia="ru-RU"/>
        </w:rPr>
      </w:pPr>
      <w:r>
        <w:rPr>
          <w:rFonts w:eastAsia="Calibri"/>
          <w:sz w:val="22"/>
          <w:szCs w:val="22"/>
          <w:lang w:eastAsia="ru-RU"/>
        </w:rPr>
        <w:t>4.5. В случае поставки некачественного топлива, повлекшего нарушение работоспособности транспорта, подтвержденное независимой экспертизой, Поставщик возмещает Заказчику все расходы по восстановлению транспорта.</w:t>
      </w:r>
    </w:p>
    <w:p>
      <w:pPr>
        <w:pStyle w:val="Normal"/>
        <w:widowControl w:val="false"/>
        <w:suppressAutoHyphens w:val="false"/>
        <w:jc w:val="both"/>
        <w:rPr>
          <w:rFonts w:eastAsia="Calibri"/>
          <w:sz w:val="22"/>
          <w:szCs w:val="22"/>
          <w:lang w:eastAsia="ru-RU"/>
        </w:rPr>
      </w:pPr>
      <w:r>
        <w:rPr>
          <w:rFonts w:eastAsia="Calibri"/>
          <w:b/>
          <w:bCs/>
          <w:sz w:val="22"/>
          <w:szCs w:val="22"/>
          <w:lang w:eastAsia="ru-RU"/>
        </w:rPr>
        <w:t>5. Количество карт:</w:t>
      </w:r>
      <w:r>
        <w:rPr>
          <w:rFonts w:eastAsia="Calibri"/>
          <w:sz w:val="22"/>
          <w:szCs w:val="22"/>
          <w:lang w:eastAsia="ru-RU"/>
        </w:rPr>
        <w:t xml:space="preserve"> Поставщик для исполнения своих обязательств передает Заказчику электронно-пластиковые карты, являющиеся средством для идентификации Заказчика, средством учета полученных Заказчиком Товаров в Торговых точках в количестве </w:t>
      </w:r>
      <w:r>
        <w:rPr>
          <w:rFonts w:eastAsia="Calibri"/>
          <w:sz w:val="22"/>
          <w:szCs w:val="22"/>
          <w:highlight w:val="yellow"/>
          <w:lang w:eastAsia="ru-RU"/>
        </w:rPr>
        <w:t xml:space="preserve">не менее </w:t>
      </w:r>
      <w:r>
        <w:rPr>
          <w:rFonts w:eastAsia="Calibri"/>
          <w:sz w:val="22"/>
          <w:szCs w:val="22"/>
          <w:highlight w:val="yellow"/>
          <w:lang w:eastAsia="ru-RU"/>
        </w:rPr>
        <w:t>6</w:t>
      </w:r>
      <w:r>
        <w:rPr>
          <w:rFonts w:eastAsia="Calibri"/>
          <w:sz w:val="22"/>
          <w:szCs w:val="22"/>
          <w:highlight w:val="yellow"/>
          <w:lang w:eastAsia="ru-RU"/>
        </w:rPr>
        <w:t xml:space="preserve"> (</w:t>
      </w:r>
      <w:r>
        <w:rPr>
          <w:rFonts w:eastAsia="Calibri"/>
          <w:sz w:val="22"/>
          <w:szCs w:val="22"/>
          <w:highlight w:val="yellow"/>
          <w:lang w:eastAsia="ru-RU"/>
        </w:rPr>
        <w:t>шест</w:t>
      </w:r>
      <w:r>
        <w:rPr>
          <w:rFonts w:eastAsia="Calibri"/>
          <w:sz w:val="22"/>
          <w:szCs w:val="22"/>
          <w:highlight w:val="yellow"/>
          <w:lang w:eastAsia="ru-RU"/>
        </w:rPr>
        <w:t>и) штук</w:t>
      </w:r>
      <w:r>
        <w:rPr>
          <w:rFonts w:eastAsia="Calibri"/>
          <w:sz w:val="22"/>
          <w:szCs w:val="22"/>
          <w:lang w:eastAsia="ru-RU"/>
        </w:rPr>
        <w:t xml:space="preserve"> без ограничения вида топлива.</w:t>
      </w:r>
    </w:p>
    <w:p>
      <w:pPr>
        <w:pStyle w:val="Normal"/>
        <w:widowControl w:val="false"/>
        <w:suppressAutoHyphens w:val="false"/>
        <w:jc w:val="both"/>
        <w:rPr>
          <w:rFonts w:eastAsia="Calibri"/>
          <w:sz w:val="22"/>
          <w:szCs w:val="22"/>
          <w:lang w:eastAsia="ru-RU"/>
        </w:rPr>
      </w:pPr>
      <w:r>
        <w:rPr>
          <w:rFonts w:eastAsia="Calibri"/>
          <w:sz w:val="22"/>
          <w:szCs w:val="22"/>
          <w:lang w:eastAsia="ru-RU"/>
        </w:rPr>
        <w:t>5.1. Поставщик предоставляет Заказчику в течение 3 рабочих дней с момента заключения договора и получения от Заказчика письма-заявки с указанием установленного лимита товара в литрах по каждой карте изготовить и выдать Заказчику по доверенности в офисе Поставщика топливные карты.</w:t>
      </w:r>
    </w:p>
    <w:p>
      <w:pPr>
        <w:pStyle w:val="Normal"/>
        <w:widowControl w:val="false"/>
        <w:suppressAutoHyphens w:val="false"/>
        <w:jc w:val="both"/>
        <w:rPr>
          <w:rFonts w:eastAsia="Calibri"/>
          <w:sz w:val="22"/>
          <w:szCs w:val="22"/>
          <w:lang w:eastAsia="ru-RU"/>
        </w:rPr>
      </w:pPr>
      <w:r>
        <w:rPr>
          <w:rFonts w:eastAsia="Calibri"/>
          <w:sz w:val="22"/>
          <w:szCs w:val="22"/>
          <w:lang w:eastAsia="ru-RU"/>
        </w:rPr>
        <w:t>- обеспечение электронного документооборота (возможность предоставления отчетных документов в электронном виде)</w:t>
      </w:r>
    </w:p>
    <w:p>
      <w:pPr>
        <w:pStyle w:val="Normal"/>
        <w:widowControl w:val="false"/>
        <w:suppressAutoHyphens w:val="false"/>
        <w:jc w:val="both"/>
        <w:rPr>
          <w:rFonts w:eastAsia="Calibri"/>
          <w:sz w:val="22"/>
          <w:szCs w:val="22"/>
          <w:lang w:eastAsia="ru-RU"/>
        </w:rPr>
      </w:pPr>
      <w:r>
        <w:rPr>
          <w:rFonts w:eastAsia="Calibri"/>
          <w:sz w:val="22"/>
          <w:szCs w:val="22"/>
          <w:lang w:eastAsia="ru-RU"/>
        </w:rPr>
        <w:t>- предоставление информации о блокировке или замене карты, корректировка информации об остатке средств в случае недополучения ГСМ, отпускаемых на АЗС (если эта информация уже была записана на Карту, а ГСМ не получен из-за переполнения бака или неисправности топливозаправочной колонки);</w:t>
      </w:r>
    </w:p>
    <w:p>
      <w:pPr>
        <w:pStyle w:val="Normal"/>
        <w:widowControl w:val="false"/>
        <w:suppressAutoHyphens w:val="false"/>
        <w:jc w:val="both"/>
        <w:rPr>
          <w:rFonts w:eastAsia="Calibri"/>
          <w:sz w:val="22"/>
          <w:szCs w:val="22"/>
          <w:lang w:eastAsia="ru-RU"/>
        </w:rPr>
      </w:pPr>
      <w:r>
        <w:rPr>
          <w:rFonts w:eastAsia="Calibri"/>
          <w:sz w:val="22"/>
          <w:szCs w:val="22"/>
          <w:lang w:eastAsia="ru-RU"/>
        </w:rPr>
        <w:t>- предоставление полностью оформленной отчетной и бухгалтерской документации до 10 числа месяца, следующего за отчетным;</w:t>
      </w:r>
    </w:p>
    <w:p>
      <w:pPr>
        <w:pStyle w:val="Normal"/>
        <w:widowControl w:val="false"/>
        <w:suppressAutoHyphens w:val="false"/>
        <w:jc w:val="both"/>
        <w:rPr>
          <w:rFonts w:eastAsia="Calibri"/>
          <w:sz w:val="22"/>
          <w:szCs w:val="22"/>
          <w:lang w:eastAsia="ru-RU"/>
        </w:rPr>
      </w:pPr>
      <w:r>
        <w:rPr>
          <w:rFonts w:eastAsia="Calibri"/>
          <w:sz w:val="22"/>
          <w:szCs w:val="22"/>
          <w:lang w:eastAsia="ru-RU"/>
        </w:rPr>
        <w:t>- предоставление отчетов об использовании лимитов, динамике исполнения контракта, активности карт.</w:t>
      </w:r>
    </w:p>
    <w:p>
      <w:pPr>
        <w:pStyle w:val="Normal"/>
        <w:suppressAutoHyphens w:val="false"/>
        <w:spacing w:lineRule="auto" w:line="276"/>
        <w:jc w:val="both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suppressAutoHyphens w:val="false"/>
        <w:spacing w:lineRule="auto" w:line="276"/>
        <w:jc w:val="both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suppressAutoHyphens w:val="false"/>
        <w:spacing w:lineRule="auto" w:line="276"/>
        <w:jc w:val="both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suppressAutoHyphens w:val="false"/>
        <w:spacing w:lineRule="auto" w:line="276"/>
        <w:jc w:val="both"/>
        <w:rPr>
          <w:b/>
          <w:b/>
          <w:bCs/>
          <w:sz w:val="22"/>
          <w:szCs w:val="22"/>
        </w:rPr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567" w:gutter="0" w:header="720" w:top="777" w:footer="709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  <w:font w:name="Cambria">
    <w:charset w:val="cc"/>
    <w:family w:val="roman"/>
    <w:pitch w:val="variable"/>
  </w:font>
  <w:font w:name="Wingdings">
    <w:charset w:val="cc"/>
    <w:family w:val="roman"/>
    <w:pitch w:val="variable"/>
  </w:font>
  <w:font w:name="Courier New">
    <w:charset w:val="cc"/>
    <w:family w:val="roman"/>
    <w:pitch w:val="variable"/>
  </w:font>
  <w:font w:name="Symbol">
    <w:charset w:val="cc"/>
    <w:family w:val="roman"/>
    <w:pitch w:val="variable"/>
  </w:font>
  <w:font w:name="Consolas">
    <w:charset w:val="cc"/>
    <w:family w:val="roman"/>
    <w:pitch w:val="variable"/>
  </w:font>
  <w:font w:name="Tahoma"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gelvetsky 12pt">
    <w:charset w:val="cc"/>
    <w:family w:val="roman"/>
    <w:pitch w:val="variable"/>
  </w:font>
  <w:font w:name="Segoe UI Symbol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37"/>
      <w:jc w:val="right"/>
      <w:rPr/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2</w:t>
    </w:r>
    <w:r>
      <w:rPr>
        <w:sz w:val="16"/>
        <w:szCs w:val="16"/>
      </w:rPr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37"/>
      <w:jc w:val="right"/>
      <w:rPr/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2</w:t>
    </w:r>
    <w:r>
      <w:rPr>
        <w:sz w:val="16"/>
        <w:szCs w:val="16"/>
      </w:rP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szCs w:val="20"/>
        <w:rFonts w:ascii="Times New Roman" w:hAnsi="Times New Roman" w:cs="Times New Roman"/>
        <w:lang w:val="ru-RU"/>
      </w:rPr>
    </w:lvl>
    <w:lvl w:ilvl="1">
      <w:start w:val="1"/>
      <w:pStyle w:val="2"/>
      <w:numFmt w:val="decimal"/>
      <w:lvlText w:val="%1.%2."/>
      <w:lvlJc w:val="left"/>
      <w:pPr>
        <w:tabs>
          <w:tab w:val="num" w:pos="576"/>
        </w:tabs>
        <w:ind w:left="576" w:hanging="576"/>
      </w:pPr>
      <w:rPr/>
    </w:lvl>
    <w:lvl w:ilvl="2">
      <w:start w:val="1"/>
      <w:pStyle w:val="3"/>
      <w:numFmt w:val="decimal"/>
      <w:lvlText w:val="%1.%2.%3."/>
      <w:lvlJc w:val="left"/>
      <w:pPr>
        <w:tabs>
          <w:tab w:val="num" w:pos="170"/>
        </w:tabs>
        <w:ind w:left="720" w:hanging="720"/>
      </w:pPr>
      <w:rPr>
        <w:sz w:val="26"/>
        <w:i w:val="false"/>
        <w:b w:val="false"/>
        <w:szCs w:val="26"/>
        <w:iCs w:val="false"/>
        <w:bCs w:val="false"/>
        <w:rFonts w:ascii="Times New Roman" w:hAnsi="Times New Roman" w:cs="Times New Roman"/>
      </w:rPr>
    </w:lvl>
    <w:lvl w:ilvl="3">
      <w:start w:val="1"/>
      <w:numFmt w:val="decimal"/>
      <w:lvlText w:val="%4)"/>
      <w:lvlJc w:val="left"/>
      <w:pPr>
        <w:tabs>
          <w:tab w:val="num" w:pos="360"/>
        </w:tabs>
        <w:ind w:left="360" w:hanging="360"/>
      </w:pPr>
      <w:rPr>
        <w:sz w:val="20"/>
        <w:b w:val="false"/>
        <w:szCs w:val="20"/>
        <w:rFonts w:ascii="Times New Roman" w:hAnsi="Times New Roman" w:cs="Times New Roman"/>
      </w:rPr>
    </w:lvl>
    <w:lvl w:ilvl="4">
      <w:start w:val="1"/>
      <w:numFmt w:val="decimal"/>
      <w:lvlText w:val="%5)"/>
      <w:lvlJc w:val="left"/>
      <w:pPr>
        <w:tabs>
          <w:tab w:val="num" w:pos="1800"/>
        </w:tabs>
        <w:ind w:left="1800" w:hanging="360"/>
      </w:pPr>
      <w:rPr>
        <w:sz w:val="26"/>
        <w:szCs w:val="26"/>
      </w:rPr>
    </w:lvl>
    <w:lvl w:ilvl="5">
      <w:start w:val="1"/>
      <w:numFmt w:val="decimal"/>
      <w:lvlText w:val="%5.%6."/>
      <w:lvlJc w:val="left"/>
      <w:pPr>
        <w:tabs>
          <w:tab w:val="num" w:pos="1152"/>
        </w:tabs>
        <w:ind w:left="1152" w:hanging="1152"/>
      </w:pPr>
      <w:rPr/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/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0" w:hanging="0"/>
      </w:pPr>
      <w:rPr>
        <w:sz w:val="24"/>
        <w:b/>
        <w:szCs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SystemFonts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ar-SA" w:val="ru-RU" w:bidi="ar-SA"/>
    </w:rPr>
  </w:style>
  <w:style w:type="paragraph" w:styleId="1">
    <w:name w:val="Heading 1"/>
    <w:basedOn w:val="Normal"/>
    <w:next w:val="Normal"/>
    <w:qFormat/>
    <w:pPr>
      <w:keepNext w:val="true"/>
      <w:spacing w:before="240" w:after="0"/>
      <w:jc w:val="center"/>
      <w:outlineLvl w:val="0"/>
    </w:pPr>
    <w:rPr>
      <w:b/>
      <w:bCs/>
      <w:kern w:val="2"/>
      <w:sz w:val="36"/>
      <w:szCs w:val="36"/>
      <w:lang w:val="x-none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jc w:val="center"/>
      <w:outlineLvl w:val="1"/>
    </w:pPr>
    <w:rPr>
      <w:b/>
      <w:bCs/>
      <w:sz w:val="30"/>
      <w:szCs w:val="30"/>
      <w:lang w:val="x-none"/>
    </w:rPr>
  </w:style>
  <w:style w:type="paragraph" w:styleId="3">
    <w:name w:val="Heading 3"/>
    <w:basedOn w:val="Normal"/>
    <w:next w:val="Normal"/>
    <w:qFormat/>
    <w:pPr>
      <w:keepNext w:val="true"/>
      <w:numPr>
        <w:ilvl w:val="2"/>
        <w:numId w:val="1"/>
      </w:numPr>
      <w:spacing w:before="240" w:after="0"/>
      <w:outlineLvl w:val="2"/>
    </w:pPr>
    <w:rPr>
      <w:rFonts w:ascii="Arial" w:hAnsi="Arial" w:cs="Arial"/>
      <w:b/>
      <w:bCs/>
      <w:lang w:val="x-none"/>
    </w:rPr>
  </w:style>
  <w:style w:type="paragraph" w:styleId="4">
    <w:name w:val="Heading 4"/>
    <w:basedOn w:val="Normal"/>
    <w:next w:val="Normal"/>
    <w:qFormat/>
    <w:pPr>
      <w:keepNext w:val="true"/>
      <w:keepLines/>
      <w:spacing w:before="200" w:after="0"/>
      <w:outlineLvl w:val="3"/>
    </w:pPr>
    <w:rPr>
      <w:rFonts w:ascii="Cambria" w:hAnsi="Cambria" w:cs="Cambria"/>
      <w:b/>
      <w:bCs/>
      <w:i/>
      <w:iCs/>
      <w:color w:val="4F81BD"/>
      <w:lang w:val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>
      <w:rFonts w:ascii="Times New Roman" w:hAnsi="Times New Roman" w:cs="Times New Roman"/>
      <w:szCs w:val="20"/>
      <w:lang w:val="ru-RU"/>
    </w:rPr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>
      <w:rFonts w:ascii="Times New Roman" w:hAnsi="Times New Roman" w:cs="Times New Roman"/>
      <w:b w:val="false"/>
      <w:bCs w:val="false"/>
      <w:i w:val="false"/>
      <w:iCs w:val="false"/>
      <w:sz w:val="26"/>
      <w:szCs w:val="26"/>
    </w:rPr>
  </w:style>
  <w:style w:type="character" w:styleId="WW8Num1z3" w:customStyle="1">
    <w:name w:val="WW8Num1z3"/>
    <w:qFormat/>
    <w:rPr>
      <w:rFonts w:ascii="Times New Roman" w:hAnsi="Times New Roman" w:cs="Times New Roman"/>
      <w:b w:val="false"/>
      <w:sz w:val="20"/>
      <w:szCs w:val="20"/>
    </w:rPr>
  </w:style>
  <w:style w:type="character" w:styleId="WW8Num1z4" w:customStyle="1">
    <w:name w:val="WW8Num1z4"/>
    <w:qFormat/>
    <w:rPr>
      <w:sz w:val="26"/>
      <w:szCs w:val="26"/>
    </w:rPr>
  </w:style>
  <w:style w:type="character" w:styleId="WW8Num2z0" w:customStyle="1">
    <w:name w:val="WW8Num2z0"/>
    <w:qFormat/>
    <w:rPr>
      <w:b w:val="false"/>
      <w:i w:val="false"/>
      <w:color w:val="auto"/>
      <w:sz w:val="20"/>
      <w:szCs w:val="20"/>
    </w:rPr>
  </w:style>
  <w:style w:type="character" w:styleId="WW8Num3z0" w:customStyle="1">
    <w:name w:val="WW8Num3z0"/>
    <w:qFormat/>
    <w:rPr>
      <w:rFonts w:ascii="Times New Roman" w:hAnsi="Times New Roman" w:cs="Times New Roman"/>
      <w:i/>
      <w:color w:val="FF0000"/>
      <w:sz w:val="20"/>
      <w:szCs w:val="20"/>
      <w:lang w:val="ru-RU"/>
    </w:rPr>
  </w:style>
  <w:style w:type="character" w:styleId="WW8Num4z0" w:customStyle="1">
    <w:name w:val="WW8Num4z0"/>
    <w:qFormat/>
    <w:rPr>
      <w:rFonts w:ascii="Times New Roman" w:hAnsi="Times New Roman" w:cs="Times New Roman"/>
      <w:szCs w:val="20"/>
      <w:lang w:val="ru-RU"/>
    </w:rPr>
  </w:style>
  <w:style w:type="character" w:styleId="WW8Num5z0" w:customStyle="1">
    <w:name w:val="WW8Num5z0"/>
    <w:qFormat/>
    <w:rPr>
      <w:rFonts w:ascii="Wingdings" w:hAnsi="Wingdings" w:cs="Wingdings"/>
      <w:szCs w:val="20"/>
      <w:lang w:val="ru-RU"/>
    </w:rPr>
  </w:style>
  <w:style w:type="character" w:styleId="WW8Num6z0" w:customStyle="1">
    <w:name w:val="WW8Num6z0"/>
    <w:qFormat/>
    <w:rPr>
      <w:rFonts w:eastAsia="Calibri"/>
      <w:b w:val="false"/>
      <w:bCs/>
      <w:i w:val="false"/>
      <w:color w:val="auto"/>
      <w:sz w:val="20"/>
      <w:szCs w:val="20"/>
    </w:rPr>
  </w:style>
  <w:style w:type="character" w:styleId="WW8Num7z0" w:customStyle="1">
    <w:name w:val="WW8Num7z0"/>
    <w:qFormat/>
    <w:rPr/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1" w:customStyle="1">
    <w:name w:val="WW8Num3z1"/>
    <w:qFormat/>
    <w:rPr/>
  </w:style>
  <w:style w:type="character" w:styleId="WW8Num3z2" w:customStyle="1">
    <w:name w:val="WW8Num3z2"/>
    <w:qFormat/>
    <w:rPr/>
  </w:style>
  <w:style w:type="character" w:styleId="WW8Num3z3" w:customStyle="1">
    <w:name w:val="WW8Num3z3"/>
    <w:qFormat/>
    <w:rPr/>
  </w:style>
  <w:style w:type="character" w:styleId="WW8Num3z4" w:customStyle="1">
    <w:name w:val="WW8Num3z4"/>
    <w:qFormat/>
    <w:rPr/>
  </w:style>
  <w:style w:type="character" w:styleId="WW8Num3z5" w:customStyle="1">
    <w:name w:val="WW8Num3z5"/>
    <w:qFormat/>
    <w:rPr/>
  </w:style>
  <w:style w:type="character" w:styleId="WW8Num3z6" w:customStyle="1">
    <w:name w:val="WW8Num3z6"/>
    <w:qFormat/>
    <w:rPr/>
  </w:style>
  <w:style w:type="character" w:styleId="WW8Num3z7" w:customStyle="1">
    <w:name w:val="WW8Num3z7"/>
    <w:qFormat/>
    <w:rPr/>
  </w:style>
  <w:style w:type="character" w:styleId="WW8Num3z8" w:customStyle="1">
    <w:name w:val="WW8Num3z8"/>
    <w:qFormat/>
    <w:rPr/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1" w:customStyle="1">
    <w:name w:val="WW8Num5z1"/>
    <w:qFormat/>
    <w:rPr>
      <w:rFonts w:ascii="Courier New" w:hAnsi="Courier New" w:cs="Courier New"/>
    </w:rPr>
  </w:style>
  <w:style w:type="character" w:styleId="WW8Num5z3" w:customStyle="1">
    <w:name w:val="WW8Num5z3"/>
    <w:qFormat/>
    <w:rPr>
      <w:rFonts w:ascii="Symbol" w:hAnsi="Symbol" w:cs="Symbol"/>
    </w:rPr>
  </w:style>
  <w:style w:type="character" w:styleId="WW8Num6z1" w:customStyle="1">
    <w:name w:val="WW8Num6z1"/>
    <w:qFormat/>
    <w:rPr/>
  </w:style>
  <w:style w:type="character" w:styleId="WW8Num6z2" w:customStyle="1">
    <w:name w:val="WW8Num6z2"/>
    <w:qFormat/>
    <w:rPr/>
  </w:style>
  <w:style w:type="character" w:styleId="WW8Num6z3" w:customStyle="1">
    <w:name w:val="WW8Num6z3"/>
    <w:qFormat/>
    <w:rPr/>
  </w:style>
  <w:style w:type="character" w:styleId="WW8Num6z4" w:customStyle="1">
    <w:name w:val="WW8Num6z4"/>
    <w:qFormat/>
    <w:rPr/>
  </w:style>
  <w:style w:type="character" w:styleId="WW8Num6z5" w:customStyle="1">
    <w:name w:val="WW8Num6z5"/>
    <w:qFormat/>
    <w:rPr/>
  </w:style>
  <w:style w:type="character" w:styleId="WW8Num6z6" w:customStyle="1">
    <w:name w:val="WW8Num6z6"/>
    <w:qFormat/>
    <w:rPr/>
  </w:style>
  <w:style w:type="character" w:styleId="WW8Num6z7" w:customStyle="1">
    <w:name w:val="WW8Num6z7"/>
    <w:qFormat/>
    <w:rPr/>
  </w:style>
  <w:style w:type="character" w:styleId="WW8Num6z8" w:customStyle="1">
    <w:name w:val="WW8Num6z8"/>
    <w:qFormat/>
    <w:rPr/>
  </w:style>
  <w:style w:type="character" w:styleId="WW8Num7z1" w:customStyle="1">
    <w:name w:val="WW8Num7z1"/>
    <w:qFormat/>
    <w:rPr/>
  </w:style>
  <w:style w:type="character" w:styleId="WW8Num7z2" w:customStyle="1">
    <w:name w:val="WW8Num7z2"/>
    <w:qFormat/>
    <w:rPr/>
  </w:style>
  <w:style w:type="character" w:styleId="WW8Num7z3" w:customStyle="1">
    <w:name w:val="WW8Num7z3"/>
    <w:qFormat/>
    <w:rPr/>
  </w:style>
  <w:style w:type="character" w:styleId="WW8Num7z4" w:customStyle="1">
    <w:name w:val="WW8Num7z4"/>
    <w:qFormat/>
    <w:rPr/>
  </w:style>
  <w:style w:type="character" w:styleId="WW8Num7z5" w:customStyle="1">
    <w:name w:val="WW8Num7z5"/>
    <w:qFormat/>
    <w:rPr/>
  </w:style>
  <w:style w:type="character" w:styleId="WW8Num7z6" w:customStyle="1">
    <w:name w:val="WW8Num7z6"/>
    <w:qFormat/>
    <w:rPr/>
  </w:style>
  <w:style w:type="character" w:styleId="WW8Num7z7" w:customStyle="1">
    <w:name w:val="WW8Num7z7"/>
    <w:qFormat/>
    <w:rPr/>
  </w:style>
  <w:style w:type="character" w:styleId="WW8Num7z8" w:customStyle="1">
    <w:name w:val="WW8Num7z8"/>
    <w:qFormat/>
    <w:rPr/>
  </w:style>
  <w:style w:type="character" w:styleId="WW8Num8z0" w:customStyle="1">
    <w:name w:val="WW8Num8z0"/>
    <w:qFormat/>
    <w:rPr>
      <w:b w:val="false"/>
      <w:i w:val="false"/>
      <w:color w:val="auto"/>
    </w:rPr>
  </w:style>
  <w:style w:type="character" w:styleId="WW8Num8z1" w:customStyle="1">
    <w:name w:val="WW8Num8z1"/>
    <w:qFormat/>
    <w:rPr/>
  </w:style>
  <w:style w:type="character" w:styleId="WW8Num8z2" w:customStyle="1">
    <w:name w:val="WW8Num8z2"/>
    <w:qFormat/>
    <w:rPr/>
  </w:style>
  <w:style w:type="character" w:styleId="WW8Num8z3" w:customStyle="1">
    <w:name w:val="WW8Num8z3"/>
    <w:qFormat/>
    <w:rPr/>
  </w:style>
  <w:style w:type="character" w:styleId="WW8Num8z4" w:customStyle="1">
    <w:name w:val="WW8Num8z4"/>
    <w:qFormat/>
    <w:rPr/>
  </w:style>
  <w:style w:type="character" w:styleId="WW8Num8z5" w:customStyle="1">
    <w:name w:val="WW8Num8z5"/>
    <w:qFormat/>
    <w:rPr/>
  </w:style>
  <w:style w:type="character" w:styleId="WW8Num8z6" w:customStyle="1">
    <w:name w:val="WW8Num8z6"/>
    <w:qFormat/>
    <w:rPr/>
  </w:style>
  <w:style w:type="character" w:styleId="WW8Num8z7" w:customStyle="1">
    <w:name w:val="WW8Num8z7"/>
    <w:qFormat/>
    <w:rPr/>
  </w:style>
  <w:style w:type="character" w:styleId="WW8Num8z8" w:customStyle="1">
    <w:name w:val="WW8Num8z8"/>
    <w:qFormat/>
    <w:rPr/>
  </w:style>
  <w:style w:type="character" w:styleId="WW8Num9z0" w:customStyle="1">
    <w:name w:val="WW8Num9z0"/>
    <w:qFormat/>
    <w:rPr>
      <w:rFonts w:ascii="Wingdings" w:hAnsi="Wingdings" w:cs="Wingdings"/>
    </w:rPr>
  </w:style>
  <w:style w:type="character" w:styleId="WW8Num9z1" w:customStyle="1">
    <w:name w:val="WW8Num9z1"/>
    <w:qFormat/>
    <w:rPr>
      <w:rFonts w:ascii="Courier New" w:hAnsi="Courier New" w:cs="Courier New"/>
    </w:rPr>
  </w:style>
  <w:style w:type="character" w:styleId="WW8Num9z3" w:customStyle="1">
    <w:name w:val="WW8Num9z3"/>
    <w:qFormat/>
    <w:rPr>
      <w:rFonts w:ascii="Symbol" w:hAnsi="Symbol" w:cs="Symbol"/>
    </w:rPr>
  </w:style>
  <w:style w:type="character" w:styleId="WW8Num10z0" w:customStyle="1">
    <w:name w:val="WW8Num10z0"/>
    <w:qFormat/>
    <w:rPr>
      <w:rFonts w:ascii="Times New Roman" w:hAnsi="Times New Roman" w:cs="Times New Roman"/>
      <w:b w:val="false"/>
      <w:sz w:val="22"/>
      <w:szCs w:val="22"/>
    </w:rPr>
  </w:style>
  <w:style w:type="character" w:styleId="WW8Num10z1" w:customStyle="1">
    <w:name w:val="WW8Num10z1"/>
    <w:qFormat/>
    <w:rPr/>
  </w:style>
  <w:style w:type="character" w:styleId="WW8Num10z2" w:customStyle="1">
    <w:name w:val="WW8Num10z2"/>
    <w:qFormat/>
    <w:rPr>
      <w:rFonts w:ascii="Times New Roman" w:hAnsi="Times New Roman" w:cs="Times New Roman"/>
      <w:b w:val="false"/>
      <w:bCs w:val="false"/>
      <w:i w:val="false"/>
      <w:iCs w:val="false"/>
      <w:sz w:val="26"/>
      <w:szCs w:val="26"/>
    </w:rPr>
  </w:style>
  <w:style w:type="character" w:styleId="WW8Num10z3" w:customStyle="1">
    <w:name w:val="WW8Num10z3"/>
    <w:qFormat/>
    <w:rPr>
      <w:rFonts w:ascii="Times New Roman" w:hAnsi="Times New Roman" w:cs="Times New Roman"/>
      <w:b w:val="false"/>
      <w:sz w:val="20"/>
      <w:szCs w:val="20"/>
    </w:rPr>
  </w:style>
  <w:style w:type="character" w:styleId="WW8Num10z4" w:customStyle="1">
    <w:name w:val="WW8Num10z4"/>
    <w:qFormat/>
    <w:rPr>
      <w:sz w:val="26"/>
      <w:szCs w:val="26"/>
    </w:rPr>
  </w:style>
  <w:style w:type="character" w:styleId="WW8Num11z0" w:customStyle="1">
    <w:name w:val="WW8Num11z0"/>
    <w:qFormat/>
    <w:rPr/>
  </w:style>
  <w:style w:type="character" w:styleId="WW8Num11z1" w:customStyle="1">
    <w:name w:val="WW8Num11z1"/>
    <w:qFormat/>
    <w:rPr/>
  </w:style>
  <w:style w:type="character" w:styleId="WW8Num11z2" w:customStyle="1">
    <w:name w:val="WW8Num11z2"/>
    <w:qFormat/>
    <w:rPr/>
  </w:style>
  <w:style w:type="character" w:styleId="WW8Num11z3" w:customStyle="1">
    <w:name w:val="WW8Num11z3"/>
    <w:qFormat/>
    <w:rPr/>
  </w:style>
  <w:style w:type="character" w:styleId="WW8Num11z4" w:customStyle="1">
    <w:name w:val="WW8Num11z4"/>
    <w:qFormat/>
    <w:rPr/>
  </w:style>
  <w:style w:type="character" w:styleId="WW8Num11z5" w:customStyle="1">
    <w:name w:val="WW8Num11z5"/>
    <w:qFormat/>
    <w:rPr/>
  </w:style>
  <w:style w:type="character" w:styleId="WW8Num11z6" w:customStyle="1">
    <w:name w:val="WW8Num11z6"/>
    <w:qFormat/>
    <w:rPr/>
  </w:style>
  <w:style w:type="character" w:styleId="WW8Num11z7" w:customStyle="1">
    <w:name w:val="WW8Num11z7"/>
    <w:qFormat/>
    <w:rPr/>
  </w:style>
  <w:style w:type="character" w:styleId="WW8Num11z8" w:customStyle="1">
    <w:name w:val="WW8Num11z8"/>
    <w:qFormat/>
    <w:rPr/>
  </w:style>
  <w:style w:type="character" w:styleId="WW8Num12z0" w:customStyle="1">
    <w:name w:val="WW8Num12z0"/>
    <w:qFormat/>
    <w:rPr>
      <w:rFonts w:ascii="Times New Roman" w:hAnsi="Times New Roman" w:cs="Times New Roman"/>
      <w:b w:val="false"/>
      <w:color w:val="auto"/>
      <w:sz w:val="20"/>
      <w:szCs w:val="20"/>
      <w:lang w:val="ru-RU"/>
    </w:rPr>
  </w:style>
  <w:style w:type="character" w:styleId="WW8Num12z1" w:customStyle="1">
    <w:name w:val="WW8Num12z1"/>
    <w:qFormat/>
    <w:rPr/>
  </w:style>
  <w:style w:type="character" w:styleId="WW8Num12z2" w:customStyle="1">
    <w:name w:val="WW8Num12z2"/>
    <w:qFormat/>
    <w:rPr/>
  </w:style>
  <w:style w:type="character" w:styleId="WW8Num12z3" w:customStyle="1">
    <w:name w:val="WW8Num12z3"/>
    <w:qFormat/>
    <w:rPr/>
  </w:style>
  <w:style w:type="character" w:styleId="WW8Num12z4" w:customStyle="1">
    <w:name w:val="WW8Num12z4"/>
    <w:qFormat/>
    <w:rPr/>
  </w:style>
  <w:style w:type="character" w:styleId="WW8Num12z5" w:customStyle="1">
    <w:name w:val="WW8Num12z5"/>
    <w:qFormat/>
    <w:rPr/>
  </w:style>
  <w:style w:type="character" w:styleId="WW8Num12z6" w:customStyle="1">
    <w:name w:val="WW8Num12z6"/>
    <w:qFormat/>
    <w:rPr/>
  </w:style>
  <w:style w:type="character" w:styleId="WW8Num12z7" w:customStyle="1">
    <w:name w:val="WW8Num12z7"/>
    <w:qFormat/>
    <w:rPr/>
  </w:style>
  <w:style w:type="character" w:styleId="WW8Num12z8" w:customStyle="1">
    <w:name w:val="WW8Num12z8"/>
    <w:qFormat/>
    <w:rPr/>
  </w:style>
  <w:style w:type="character" w:styleId="WW8Num13z0" w:customStyle="1">
    <w:name w:val="WW8Num13z0"/>
    <w:qFormat/>
    <w:rPr/>
  </w:style>
  <w:style w:type="character" w:styleId="WW8Num14z0" w:customStyle="1">
    <w:name w:val="WW8Num14z0"/>
    <w:qFormat/>
    <w:rPr>
      <w:b w:val="false"/>
    </w:rPr>
  </w:style>
  <w:style w:type="character" w:styleId="WW8Num14z1" w:customStyle="1">
    <w:name w:val="WW8Num14z1"/>
    <w:qFormat/>
    <w:rPr/>
  </w:style>
  <w:style w:type="character" w:styleId="WW8Num14z2" w:customStyle="1">
    <w:name w:val="WW8Num14z2"/>
    <w:qFormat/>
    <w:rPr/>
  </w:style>
  <w:style w:type="character" w:styleId="WW8Num14z3" w:customStyle="1">
    <w:name w:val="WW8Num14z3"/>
    <w:qFormat/>
    <w:rPr/>
  </w:style>
  <w:style w:type="character" w:styleId="WW8Num14z4" w:customStyle="1">
    <w:name w:val="WW8Num14z4"/>
    <w:qFormat/>
    <w:rPr/>
  </w:style>
  <w:style w:type="character" w:styleId="WW8Num14z5" w:customStyle="1">
    <w:name w:val="WW8Num14z5"/>
    <w:qFormat/>
    <w:rPr/>
  </w:style>
  <w:style w:type="character" w:styleId="WW8Num14z6" w:customStyle="1">
    <w:name w:val="WW8Num14z6"/>
    <w:qFormat/>
    <w:rPr/>
  </w:style>
  <w:style w:type="character" w:styleId="WW8Num14z7" w:customStyle="1">
    <w:name w:val="WW8Num14z7"/>
    <w:qFormat/>
    <w:rPr/>
  </w:style>
  <w:style w:type="character" w:styleId="WW8Num14z8" w:customStyle="1">
    <w:name w:val="WW8Num14z8"/>
    <w:qFormat/>
    <w:rPr/>
  </w:style>
  <w:style w:type="character" w:styleId="WW8Num15z0" w:customStyle="1">
    <w:name w:val="WW8Num15z0"/>
    <w:qFormat/>
    <w:rPr/>
  </w:style>
  <w:style w:type="character" w:styleId="WW8Num15z1" w:customStyle="1">
    <w:name w:val="WW8Num15z1"/>
    <w:qFormat/>
    <w:rPr/>
  </w:style>
  <w:style w:type="character" w:styleId="WW8Num15z2" w:customStyle="1">
    <w:name w:val="WW8Num15z2"/>
    <w:qFormat/>
    <w:rPr/>
  </w:style>
  <w:style w:type="character" w:styleId="WW8Num15z3" w:customStyle="1">
    <w:name w:val="WW8Num15z3"/>
    <w:qFormat/>
    <w:rPr/>
  </w:style>
  <w:style w:type="character" w:styleId="WW8Num15z4" w:customStyle="1">
    <w:name w:val="WW8Num15z4"/>
    <w:qFormat/>
    <w:rPr/>
  </w:style>
  <w:style w:type="character" w:styleId="WW8Num15z5" w:customStyle="1">
    <w:name w:val="WW8Num15z5"/>
    <w:qFormat/>
    <w:rPr/>
  </w:style>
  <w:style w:type="character" w:styleId="WW8Num15z6" w:customStyle="1">
    <w:name w:val="WW8Num15z6"/>
    <w:qFormat/>
    <w:rPr/>
  </w:style>
  <w:style w:type="character" w:styleId="WW8Num15z7" w:customStyle="1">
    <w:name w:val="WW8Num15z7"/>
    <w:qFormat/>
    <w:rPr/>
  </w:style>
  <w:style w:type="character" w:styleId="WW8Num15z8" w:customStyle="1">
    <w:name w:val="WW8Num15z8"/>
    <w:qFormat/>
    <w:rPr/>
  </w:style>
  <w:style w:type="character" w:styleId="WW8Num16z0" w:customStyle="1">
    <w:name w:val="WW8Num16z0"/>
    <w:qFormat/>
    <w:rPr>
      <w:rFonts w:ascii="Symbol" w:hAnsi="Symbol" w:cs="Symbol"/>
    </w:rPr>
  </w:style>
  <w:style w:type="character" w:styleId="WW8Num16z1" w:customStyle="1">
    <w:name w:val="WW8Num16z1"/>
    <w:qFormat/>
    <w:rPr>
      <w:rFonts w:ascii="Courier New" w:hAnsi="Courier New" w:cs="Courier New"/>
    </w:rPr>
  </w:style>
  <w:style w:type="character" w:styleId="WW8Num16z2" w:customStyle="1">
    <w:name w:val="WW8Num16z2"/>
    <w:qFormat/>
    <w:rPr>
      <w:rFonts w:ascii="Wingdings" w:hAnsi="Wingdings" w:cs="Wingdings"/>
    </w:rPr>
  </w:style>
  <w:style w:type="character" w:styleId="11" w:customStyle="1">
    <w:name w:val="Основной шрифт абзаца1"/>
    <w:qFormat/>
    <w:rPr/>
  </w:style>
  <w:style w:type="character" w:styleId="12" w:customStyle="1">
    <w:name w:val="Заголовок 1 Знак"/>
    <w:qFormat/>
    <w:rPr>
      <w:rFonts w:ascii="Times New Roman" w:hAnsi="Times New Roman" w:eastAsia="Times New Roman" w:cs="Times New Roman"/>
      <w:b/>
      <w:bCs/>
      <w:kern w:val="2"/>
      <w:sz w:val="36"/>
      <w:szCs w:val="36"/>
    </w:rPr>
  </w:style>
  <w:style w:type="character" w:styleId="21" w:customStyle="1">
    <w:name w:val="Заголовок 2 Знак"/>
    <w:qFormat/>
    <w:rPr>
      <w:rFonts w:ascii="Times New Roman" w:hAnsi="Times New Roman" w:eastAsia="Times New Roman" w:cs="Times New Roman"/>
      <w:b/>
      <w:bCs/>
      <w:sz w:val="30"/>
      <w:szCs w:val="30"/>
      <w:lang w:val="x-none"/>
    </w:rPr>
  </w:style>
  <w:style w:type="character" w:styleId="31" w:customStyle="1">
    <w:name w:val="Заголовок 3 Знак"/>
    <w:qFormat/>
    <w:rPr>
      <w:rFonts w:ascii="Arial" w:hAnsi="Arial" w:eastAsia="Times New Roman" w:cs="Arial"/>
      <w:b/>
      <w:bCs/>
      <w:sz w:val="24"/>
      <w:szCs w:val="24"/>
    </w:rPr>
  </w:style>
  <w:style w:type="character" w:styleId="41" w:customStyle="1">
    <w:name w:val="Заголовок 4 Знак"/>
    <w:qFormat/>
    <w:rPr>
      <w:rFonts w:ascii="Cambria" w:hAnsi="Cambria" w:eastAsia="Times New Roman" w:cs="Times New Roman"/>
      <w:b/>
      <w:bCs/>
      <w:i/>
      <w:iCs/>
      <w:color w:val="4F81BD"/>
      <w:sz w:val="24"/>
      <w:szCs w:val="24"/>
    </w:rPr>
  </w:style>
  <w:style w:type="character" w:styleId="Style10" w:customStyle="1">
    <w:name w:val="Основной текст Знак"/>
    <w:qFormat/>
    <w:rPr>
      <w:rFonts w:ascii="Times New Roman" w:hAnsi="Times New Roman" w:eastAsia="Times New Roman" w:cs="Times New Roman"/>
      <w:sz w:val="24"/>
      <w:szCs w:val="24"/>
      <w:lang w:val="x-none"/>
    </w:rPr>
  </w:style>
  <w:style w:type="character" w:styleId="Style11" w:customStyle="1">
    <w:name w:val="Абзац списка Знак"/>
    <w:qFormat/>
    <w:rPr>
      <w:rFonts w:ascii="Consolas" w:hAnsi="Consolas" w:eastAsia="Times New Roman" w:cs="Times New Roman"/>
      <w:szCs w:val="24"/>
      <w:lang w:val="x-none"/>
    </w:rPr>
  </w:style>
  <w:style w:type="character" w:styleId="Style12" w:customStyle="1">
    <w:name w:val="Верхний колонтитул Знак"/>
    <w:qFormat/>
    <w:rPr>
      <w:rFonts w:ascii="Times New Roman" w:hAnsi="Times New Roman" w:eastAsia="Times New Roman" w:cs="Times New Roman"/>
      <w:sz w:val="24"/>
      <w:szCs w:val="24"/>
    </w:rPr>
  </w:style>
  <w:style w:type="character" w:styleId="Style13" w:customStyle="1">
    <w:name w:val="Нижний колонтитул Знак"/>
    <w:qFormat/>
    <w:rPr>
      <w:rFonts w:ascii="Times New Roman" w:hAnsi="Times New Roman" w:eastAsia="Times New Roman" w:cs="Times New Roman"/>
      <w:sz w:val="24"/>
      <w:szCs w:val="24"/>
    </w:rPr>
  </w:style>
  <w:style w:type="character" w:styleId="Style14" w:customStyle="1">
    <w:name w:val="Текст выноски Знак"/>
    <w:qFormat/>
    <w:rPr>
      <w:rFonts w:ascii="Tahoma" w:hAnsi="Tahoma" w:eastAsia="Times New Roman" w:cs="Tahoma"/>
      <w:sz w:val="16"/>
      <w:szCs w:val="16"/>
    </w:rPr>
  </w:style>
  <w:style w:type="character" w:styleId="Style15" w:customStyle="1">
    <w:name w:val="Гипертекстовая ссылка"/>
    <w:qFormat/>
    <w:rPr>
      <w:color w:val="106BBE"/>
    </w:rPr>
  </w:style>
  <w:style w:type="character" w:styleId="Style16" w:customStyle="1">
    <w:name w:val="Текст концевой сноски Знак"/>
    <w:qFormat/>
    <w:rPr>
      <w:rFonts w:ascii="Times New Roman" w:hAnsi="Times New Roman" w:eastAsia="Times New Roman" w:cs="Times New Roman"/>
      <w:sz w:val="20"/>
      <w:szCs w:val="20"/>
    </w:rPr>
  </w:style>
  <w:style w:type="character" w:styleId="Style17" w:customStyle="1">
    <w:name w:val="Символы концевой сноски"/>
    <w:qFormat/>
    <w:rPr>
      <w:vertAlign w:val="superscript"/>
    </w:rPr>
  </w:style>
  <w:style w:type="character" w:styleId="Style18" w:customStyle="1">
    <w:name w:val="Текст сноски Знак"/>
    <w:qFormat/>
    <w:rPr>
      <w:rFonts w:ascii="Times New Roman" w:hAnsi="Times New Roman" w:eastAsia="Times New Roman" w:cs="Times New Roman"/>
      <w:sz w:val="20"/>
      <w:szCs w:val="20"/>
    </w:rPr>
  </w:style>
  <w:style w:type="character" w:styleId="Style19" w:customStyle="1">
    <w:name w:val="Символ сноски"/>
    <w:qFormat/>
    <w:rPr>
      <w:vertAlign w:val="superscript"/>
    </w:rPr>
  </w:style>
  <w:style w:type="character" w:styleId="Style20">
    <w:name w:val="Интернет-ссылка"/>
    <w:rPr>
      <w:color w:val="0000FF"/>
      <w:u w:val="single"/>
    </w:rPr>
  </w:style>
  <w:style w:type="character" w:styleId="Pagenumber">
    <w:name w:val="page number"/>
    <w:qFormat/>
    <w:rPr>
      <w:rFonts w:ascii="Times New Roman" w:hAnsi="Times New Roman" w:cs="Times New Roman"/>
    </w:rPr>
  </w:style>
  <w:style w:type="character" w:styleId="Style21" w:customStyle="1">
    <w:name w:val="Без интервала Знак"/>
    <w:qFormat/>
    <w:rPr>
      <w:sz w:val="22"/>
      <w:szCs w:val="22"/>
      <w:lang w:eastAsia="ar-SA" w:bidi="ar-SA"/>
    </w:rPr>
  </w:style>
  <w:style w:type="character" w:styleId="Style22" w:customStyle="1">
    <w:name w:val="Название Знак"/>
    <w:qFormat/>
    <w:rPr>
      <w:rFonts w:ascii="Times New Roman" w:hAnsi="Times New Roman" w:eastAsia="Times New Roman" w:cs="Times New Roman"/>
      <w:b/>
      <w:bCs/>
      <w:sz w:val="40"/>
      <w:szCs w:val="24"/>
    </w:rPr>
  </w:style>
  <w:style w:type="character" w:styleId="HTML" w:customStyle="1">
    <w:name w:val="Стандартный HTML Знак"/>
    <w:qFormat/>
    <w:rPr>
      <w:rFonts w:ascii="Courier New" w:hAnsi="Courier New" w:eastAsia="Times New Roman" w:cs="Courier New"/>
    </w:rPr>
  </w:style>
  <w:style w:type="character" w:styleId="NoSpacingChar" w:customStyle="1">
    <w:name w:val="No Spacing Char"/>
    <w:qFormat/>
    <w:rPr>
      <w:rFonts w:eastAsia="Times New Roman"/>
      <w:sz w:val="22"/>
      <w:szCs w:val="22"/>
      <w:lang w:eastAsia="ar-SA" w:bidi="ar-SA"/>
    </w:rPr>
  </w:style>
  <w:style w:type="character" w:styleId="Style23">
    <w:name w:val="Привязка сноски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Style24">
    <w:name w:val="Привязка концевой сноски"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Style25">
    <w:name w:val="Посещённая гиперссылка"/>
    <w:uiPriority w:val="99"/>
    <w:semiHidden/>
    <w:unhideWhenUsed/>
    <w:rsid w:val="00e41fff"/>
    <w:rPr>
      <w:color w:val="954F72"/>
      <w:u w:val="single"/>
    </w:rPr>
  </w:style>
  <w:style w:type="character" w:styleId="ConsPlusNormal" w:customStyle="1">
    <w:name w:val="ConsPlusNormal Знак"/>
    <w:link w:val="ConsPlusNormal1"/>
    <w:qFormat/>
    <w:locked/>
    <w:rsid w:val="00e41fff"/>
    <w:rPr>
      <w:rFonts w:ascii="Arial" w:hAnsi="Arial" w:cs="Arial"/>
      <w:lang w:eastAsia="ar-SA" w:bidi="ar-SA"/>
    </w:rPr>
  </w:style>
  <w:style w:type="character" w:styleId="Style26" w:customStyle="1">
    <w:name w:val="Заголовок Знак"/>
    <w:qFormat/>
    <w:locked/>
    <w:rsid w:val="00c1399d"/>
    <w:rPr>
      <w:b/>
      <w:bCs/>
      <w:sz w:val="40"/>
      <w:szCs w:val="24"/>
      <w:lang w:val="x-none" w:eastAsia="ar-SA"/>
    </w:rPr>
  </w:style>
  <w:style w:type="character" w:styleId="Style27" w:customStyle="1">
    <w:name w:val="Основной текст с отступом Знак"/>
    <w:qFormat/>
    <w:rsid w:val="00c1399d"/>
    <w:rPr>
      <w:rFonts w:eastAsia="Calibri"/>
      <w:sz w:val="22"/>
      <w:szCs w:val="22"/>
      <w:lang w:eastAsia="en-US"/>
    </w:rPr>
  </w:style>
  <w:style w:type="character" w:styleId="13" w:customStyle="1">
    <w:name w:val="Пункт Знак1"/>
    <w:link w:val="Style47"/>
    <w:qFormat/>
    <w:locked/>
    <w:rsid w:val="00e253db"/>
    <w:rPr>
      <w:sz w:val="24"/>
      <w:szCs w:val="28"/>
      <w:lang w:val="x-none" w:eastAsia="x-none"/>
    </w:rPr>
  </w:style>
  <w:style w:type="character" w:styleId="32" w:customStyle="1">
    <w:name w:val="Основной текст Знак3"/>
    <w:qFormat/>
    <w:locked/>
    <w:rsid w:val="00e253db"/>
    <w:rPr>
      <w:rFonts w:cs="Times New Roman"/>
      <w:sz w:val="24"/>
      <w:szCs w:val="24"/>
    </w:rPr>
  </w:style>
  <w:style w:type="character" w:styleId="Style28" w:customStyle="1">
    <w:name w:val="Текст Знак"/>
    <w:link w:val="PlainText"/>
    <w:uiPriority w:val="99"/>
    <w:qFormat/>
    <w:rsid w:val="00a932f1"/>
    <w:rPr>
      <w:rFonts w:ascii="Courier New" w:hAnsi="Courier New" w:cs="Courier New"/>
    </w:rPr>
  </w:style>
  <w:style w:type="character" w:styleId="33" w:customStyle="1">
    <w:name w:val="Основной текст с отступом 3 Знак"/>
    <w:link w:val="BodyTextIndent3"/>
    <w:uiPriority w:val="99"/>
    <w:qFormat/>
    <w:rsid w:val="00a932f1"/>
    <w:rPr>
      <w:rFonts w:ascii="Calibri" w:hAnsi="Calibri" w:cs="Calibri"/>
      <w:sz w:val="16"/>
      <w:szCs w:val="16"/>
    </w:rPr>
  </w:style>
  <w:style w:type="character" w:styleId="Iceouttxt52" w:customStyle="1">
    <w:name w:val="iceouttxt52"/>
    <w:qFormat/>
    <w:rsid w:val="00a932f1"/>
    <w:rPr>
      <w:rFonts w:ascii="Arial" w:hAnsi="Arial" w:cs="Arial"/>
      <w:color w:val="666666"/>
      <w:sz w:val="17"/>
      <w:szCs w:val="17"/>
    </w:rPr>
  </w:style>
  <w:style w:type="paragraph" w:styleId="Style29">
    <w:name w:val="Заголовок"/>
    <w:basedOn w:val="Normal"/>
    <w:next w:val="Style30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30">
    <w:name w:val="Body Text"/>
    <w:basedOn w:val="Normal"/>
    <w:pPr>
      <w:spacing w:before="0" w:after="120"/>
    </w:pPr>
    <w:rPr>
      <w:lang w:val="x-none"/>
    </w:rPr>
  </w:style>
  <w:style w:type="paragraph" w:styleId="Style31">
    <w:name w:val="List"/>
    <w:basedOn w:val="Style30"/>
    <w:pPr/>
    <w:rPr>
      <w:rFonts w:cs="Mangal"/>
    </w:rPr>
  </w:style>
  <w:style w:type="paragraph" w:styleId="Style32" w:customStyle="1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Style33">
    <w:name w:val="Указатель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14" w:customStyle="1">
    <w:name w:val="Заголовок1"/>
    <w:basedOn w:val="Normal"/>
    <w:next w:val="Style30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15" w:customStyle="1">
    <w:name w:val="Указатель1"/>
    <w:basedOn w:val="Normal"/>
    <w:qFormat/>
    <w:pPr>
      <w:suppressLineNumbers/>
    </w:pPr>
    <w:rPr>
      <w:rFonts w:cs="Mangal"/>
    </w:rPr>
  </w:style>
  <w:style w:type="paragraph" w:styleId="Style34" w:customStyle="1">
    <w:name w:val="текст сноски"/>
    <w:basedOn w:val="Normal"/>
    <w:qFormat/>
    <w:pPr>
      <w:widowControl w:val="false"/>
    </w:pPr>
    <w:rPr>
      <w:rFonts w:ascii="gelvetsky 12pt" w:hAnsi="gelvetsky 12pt" w:cs="gelvetsky 12pt"/>
      <w:lang w:val="en-US"/>
    </w:rPr>
  </w:style>
  <w:style w:type="paragraph" w:styleId="ConsPlusNormal1" w:customStyle="1">
    <w:name w:val="ConsPlusNormal"/>
    <w:link w:val="ConsPlusNormal"/>
    <w:qFormat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cs="Arial" w:eastAsia="Times New Roman"/>
      <w:color w:val="auto"/>
      <w:kern w:val="0"/>
      <w:sz w:val="20"/>
      <w:szCs w:val="20"/>
      <w:lang w:eastAsia="ar-SA" w:val="ru-RU" w:bidi="ar-SA"/>
    </w:rPr>
  </w:style>
  <w:style w:type="paragraph" w:styleId="ConsNonformat" w:customStyle="1">
    <w:name w:val="ConsNonformat"/>
    <w:qFormat/>
    <w:pPr>
      <w:widowControl w:val="false"/>
      <w:suppressAutoHyphens w:val="true"/>
      <w:bidi w:val="0"/>
      <w:spacing w:before="0" w:after="0"/>
      <w:ind w:right="19772" w:hanging="0"/>
      <w:jc w:val="left"/>
    </w:pPr>
    <w:rPr>
      <w:rFonts w:ascii="Courier New" w:hAnsi="Courier New" w:cs="Courier New" w:eastAsia="Times New Roman"/>
      <w:color w:val="auto"/>
      <w:kern w:val="0"/>
      <w:sz w:val="20"/>
      <w:szCs w:val="20"/>
      <w:lang w:eastAsia="ar-SA" w:val="ru-RU" w:bidi="ar-SA"/>
    </w:rPr>
  </w:style>
  <w:style w:type="paragraph" w:styleId="ListParagraph">
    <w:name w:val="List Paragraph"/>
    <w:basedOn w:val="Normal"/>
    <w:uiPriority w:val="34"/>
    <w:qFormat/>
    <w:pPr>
      <w:ind w:firstLine="567"/>
    </w:pPr>
    <w:rPr>
      <w:rFonts w:ascii="Consolas" w:hAnsi="Consolas" w:cs="Consolas"/>
      <w:sz w:val="20"/>
      <w:lang w:val="x-none"/>
    </w:rPr>
  </w:style>
  <w:style w:type="paragraph" w:styleId="Western" w:customStyle="1">
    <w:name w:val="western"/>
    <w:basedOn w:val="Normal"/>
    <w:qFormat/>
    <w:pPr>
      <w:spacing w:before="280" w:after="280"/>
    </w:pPr>
    <w:rPr/>
  </w:style>
  <w:style w:type="paragraph" w:styleId="Style35">
    <w:name w:val="Колонтитул"/>
    <w:basedOn w:val="Normal"/>
    <w:qFormat/>
    <w:pPr/>
    <w:rPr/>
  </w:style>
  <w:style w:type="paragraph" w:styleId="Style36">
    <w:name w:val="Header"/>
    <w:basedOn w:val="Normal"/>
    <w:pPr/>
    <w:rPr>
      <w:lang w:val="x-none"/>
    </w:rPr>
  </w:style>
  <w:style w:type="paragraph" w:styleId="Style37">
    <w:name w:val="Footer"/>
    <w:basedOn w:val="Normal"/>
    <w:pPr/>
    <w:rPr>
      <w:lang w:val="x-none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  <w:lang w:val="x-none"/>
    </w:rPr>
  </w:style>
  <w:style w:type="paragraph" w:styleId="Style38" w:customStyle="1">
    <w:name w:val="Нормальный (таблица)"/>
    <w:basedOn w:val="Normal"/>
    <w:next w:val="Normal"/>
    <w:qFormat/>
    <w:pPr>
      <w:widowControl w:val="false"/>
      <w:jc w:val="both"/>
    </w:pPr>
    <w:rPr>
      <w:rFonts w:ascii="Arial" w:hAnsi="Arial" w:cs="Arial"/>
    </w:rPr>
  </w:style>
  <w:style w:type="paragraph" w:styleId="Style39" w:customStyle="1">
    <w:name w:val="Прижатый влево"/>
    <w:basedOn w:val="Normal"/>
    <w:next w:val="Normal"/>
    <w:qFormat/>
    <w:pPr>
      <w:widowControl w:val="false"/>
    </w:pPr>
    <w:rPr>
      <w:rFonts w:ascii="Arial" w:hAnsi="Arial" w:cs="Arial"/>
    </w:rPr>
  </w:style>
  <w:style w:type="paragraph" w:styleId="Style40">
    <w:name w:val="Endnote Text"/>
    <w:basedOn w:val="Normal"/>
    <w:pPr/>
    <w:rPr>
      <w:sz w:val="20"/>
      <w:szCs w:val="20"/>
      <w:lang w:val="x-none"/>
    </w:rPr>
  </w:style>
  <w:style w:type="paragraph" w:styleId="Style41">
    <w:name w:val="Footnote Text"/>
    <w:basedOn w:val="Normal"/>
    <w:pPr/>
    <w:rPr>
      <w:sz w:val="20"/>
      <w:szCs w:val="20"/>
      <w:lang w:val="x-none"/>
    </w:rPr>
  </w:style>
  <w:style w:type="paragraph" w:styleId="ConsPlusTitle" w:customStyle="1">
    <w:name w:val="ConsPlusTitle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b/>
      <w:color w:val="auto"/>
      <w:kern w:val="0"/>
      <w:sz w:val="28"/>
      <w:szCs w:val="20"/>
      <w:lang w:eastAsia="ar-SA" w:val="ru-RU" w:bidi="ar-SA"/>
    </w:rPr>
  </w:style>
  <w:style w:type="paragraph" w:styleId="NoSpacing">
    <w:name w:val="No Spacing"/>
    <w:uiPriority w:val="99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eastAsia="ar-SA" w:val="ru-RU" w:bidi="ar-SA"/>
    </w:rPr>
  </w:style>
  <w:style w:type="paragraph" w:styleId="211" w:customStyle="1">
    <w:name w:val="содержание2-11"/>
    <w:basedOn w:val="Normal"/>
    <w:qFormat/>
    <w:pPr>
      <w:spacing w:before="0" w:after="60"/>
      <w:jc w:val="both"/>
    </w:pPr>
    <w:rPr/>
  </w:style>
  <w:style w:type="paragraph" w:styleId="Style42">
    <w:name w:val="Title"/>
    <w:basedOn w:val="Normal"/>
    <w:next w:val="Style43"/>
    <w:link w:val="Style26"/>
    <w:qFormat/>
    <w:pPr>
      <w:jc w:val="center"/>
    </w:pPr>
    <w:rPr>
      <w:b/>
      <w:bCs/>
      <w:sz w:val="40"/>
      <w:lang w:val="x-none"/>
    </w:rPr>
  </w:style>
  <w:style w:type="paragraph" w:styleId="Style43">
    <w:name w:val="Subtitle"/>
    <w:basedOn w:val="14"/>
    <w:next w:val="Style30"/>
    <w:qFormat/>
    <w:pPr>
      <w:jc w:val="center"/>
    </w:pPr>
    <w:rPr>
      <w:i/>
      <w:iCs/>
    </w:rPr>
  </w:style>
  <w:style w:type="paragraph" w:styleId="HTMLPreformatted">
    <w:name w:val="HTML Preformatted"/>
    <w:basedOn w:val="Normal"/>
    <w:qFormat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  <w:sz w:val="20"/>
      <w:szCs w:val="20"/>
    </w:rPr>
  </w:style>
  <w:style w:type="paragraph" w:styleId="16" w:customStyle="1">
    <w:name w:val="Без интервала1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2"/>
      <w:szCs w:val="22"/>
      <w:lang w:eastAsia="ar-SA" w:val="ru-RU" w:bidi="ar-SA"/>
    </w:rPr>
  </w:style>
  <w:style w:type="paragraph" w:styleId="Style44" w:customStyle="1">
    <w:name w:val="Содержимое таблицы"/>
    <w:basedOn w:val="Normal"/>
    <w:qFormat/>
    <w:pPr>
      <w:suppressLineNumbers/>
    </w:pPr>
    <w:rPr/>
  </w:style>
  <w:style w:type="paragraph" w:styleId="Style45" w:customStyle="1">
    <w:name w:val="Заголовок таблицы"/>
    <w:basedOn w:val="Style44"/>
    <w:qFormat/>
    <w:pPr>
      <w:jc w:val="center"/>
    </w:pPr>
    <w:rPr>
      <w:b/>
      <w:bCs/>
    </w:rPr>
  </w:style>
  <w:style w:type="paragraph" w:styleId="5" w:customStyle="1">
    <w:name w:val="Основной текст5"/>
    <w:basedOn w:val="Normal"/>
    <w:uiPriority w:val="99"/>
    <w:qFormat/>
    <w:rsid w:val="00290e2c"/>
    <w:pPr>
      <w:widowControl w:val="false"/>
      <w:shd w:val="clear" w:color="auto" w:fill="FFFFFF"/>
      <w:suppressAutoHyphens w:val="false"/>
      <w:spacing w:lineRule="exact" w:line="197"/>
    </w:pPr>
    <w:rPr>
      <w:color w:val="000000"/>
      <w:spacing w:val="2"/>
      <w:sz w:val="12"/>
      <w:szCs w:val="12"/>
      <w:lang w:eastAsia="ru-RU"/>
    </w:rPr>
  </w:style>
  <w:style w:type="paragraph" w:styleId="Style46">
    <w:name w:val="Body Text Indent"/>
    <w:basedOn w:val="Normal"/>
    <w:link w:val="Style27"/>
    <w:rsid w:val="00c1399d"/>
    <w:pPr>
      <w:suppressAutoHyphens w:val="false"/>
      <w:spacing w:before="0" w:after="120"/>
      <w:ind w:left="283" w:hanging="0"/>
      <w:jc w:val="both"/>
    </w:pPr>
    <w:rPr>
      <w:rFonts w:eastAsia="Calibri"/>
      <w:sz w:val="22"/>
      <w:szCs w:val="22"/>
      <w:lang w:val="x-none" w:eastAsia="en-US"/>
    </w:rPr>
  </w:style>
  <w:style w:type="paragraph" w:styleId="Default" w:customStyle="1">
    <w:name w:val="Default"/>
    <w:qFormat/>
    <w:rsid w:val="00e253db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 w:bidi="ar-SA"/>
    </w:rPr>
  </w:style>
  <w:style w:type="paragraph" w:styleId="Style47" w:customStyle="1">
    <w:name w:val="Пункт"/>
    <w:basedOn w:val="Normal"/>
    <w:link w:val="13"/>
    <w:autoRedefine/>
    <w:qFormat/>
    <w:rsid w:val="00e253db"/>
    <w:pPr>
      <w:numPr>
        <w:ilvl w:val="1"/>
        <w:numId w:val="2"/>
      </w:numPr>
      <w:suppressAutoHyphens w:val="false"/>
      <w:ind w:left="0" w:hanging="0"/>
      <w:jc w:val="both"/>
    </w:pPr>
    <w:rPr>
      <w:szCs w:val="28"/>
      <w:lang w:val="x-none" w:eastAsia="x-none"/>
    </w:rPr>
  </w:style>
  <w:style w:type="paragraph" w:styleId="PlainText">
    <w:name w:val="Plain Text"/>
    <w:basedOn w:val="Normal"/>
    <w:link w:val="Style28"/>
    <w:uiPriority w:val="99"/>
    <w:qFormat/>
    <w:rsid w:val="00a932f1"/>
    <w:pPr>
      <w:suppressAutoHyphens w:val="false"/>
    </w:pPr>
    <w:rPr>
      <w:rFonts w:ascii="Courier New" w:hAnsi="Courier New"/>
      <w:sz w:val="20"/>
      <w:szCs w:val="20"/>
      <w:lang w:val="x-none" w:eastAsia="x-none"/>
    </w:rPr>
  </w:style>
  <w:style w:type="paragraph" w:styleId="BodyTextIndent3">
    <w:name w:val="Body Text Indent 3"/>
    <w:basedOn w:val="Normal"/>
    <w:link w:val="33"/>
    <w:uiPriority w:val="99"/>
    <w:qFormat/>
    <w:rsid w:val="00a932f1"/>
    <w:pPr>
      <w:suppressAutoHyphens w:val="false"/>
      <w:spacing w:lineRule="auto" w:line="276" w:before="0" w:after="120"/>
      <w:ind w:left="283" w:hanging="0"/>
    </w:pPr>
    <w:rPr>
      <w:rFonts w:ascii="Calibri" w:hAnsi="Calibri"/>
      <w:sz w:val="16"/>
      <w:szCs w:val="16"/>
      <w:lang w:val="x-none" w:eastAsia="x-none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9">
    <w:name w:val="Table Grid"/>
    <w:basedOn w:val="a2"/>
    <w:rsid w:val="00a932f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">
    <w:name w:val="Сетка таблицы1"/>
    <w:basedOn w:val="a2"/>
    <w:uiPriority w:val="59"/>
    <w:rsid w:val="00a53fa7"/>
    <w:rPr>
      <w:lang w:eastAsia="en-US"/>
      <w:sz w:val="22"/>
      <w:szCs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E57BD7-29FB-4B65-89BB-BF253F7FC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Application>LibreOffice/7.3.3.2$Windows_X86_64 LibreOffice_project/d1d0ea68f081ee2800a922cac8f79445e4603348</Application>
  <AppVersion>15.0000</AppVersion>
  <Pages>2</Pages>
  <Words>799</Words>
  <Characters>5637</Characters>
  <CharactersWithSpaces>6947</CharactersWithSpaces>
  <Paragraphs>73</Paragraphs>
  <Company>Ya Blondinko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2026-09-22T08:55:00Z</dcterms:created>
  <dc:creator>Викторова Мария Александровн</dc:creator>
  <dc:description>DMK:RE1LMQEBtCexAhOpoZjauj7eXy2cneib4Q9PRHUVF72WUZqNhfLQ49v4b95hihUmKB6B1lZDNmupPT37XA</dc:description>
  <dc:language>ru-RU</dc:language>
  <cp:lastModifiedBy/>
  <cp:lastPrinted>2017-06-29T10:09:00Z</cp:lastPrinted>
  <dcterms:modified xsi:type="dcterms:W3CDTF">2026-10-23T08:12:18Z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