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numPr>
          <w:ilvl w:val="0"/>
          <w:numId w:val="0"/>
        </w:numPr>
        <w:spacing w:lineRule="atLeast" w:line="20"/>
        <w:ind w:left="0" w:hanging="0"/>
        <w:jc w:val="right"/>
        <w:rPr>
          <w:b/>
          <w:b/>
          <w:bCs/>
          <w:sz w:val="20"/>
          <w:szCs w:val="20"/>
        </w:rPr>
      </w:pPr>
      <w:bookmarkStart w:id="0" w:name="_GoBack"/>
      <w:bookmarkEnd w:id="0"/>
      <w:r>
        <w:rPr>
          <w:b/>
          <w:bCs/>
          <w:sz w:val="20"/>
          <w:szCs w:val="20"/>
        </w:rPr>
        <w:t>Проект договора</w:t>
      </w:r>
    </w:p>
    <w:p>
      <w:pPr>
        <w:pStyle w:val="1"/>
        <w:numPr>
          <w:ilvl w:val="0"/>
          <w:numId w:val="1"/>
        </w:numPr>
        <w:spacing w:lineRule="atLeast" w:line="20"/>
        <w:jc w:val="center"/>
        <w:rPr>
          <w:sz w:val="20"/>
          <w:szCs w:val="20"/>
        </w:rPr>
      </w:pPr>
      <w:r>
        <w:rPr>
          <w:b/>
          <w:sz w:val="20"/>
          <w:szCs w:val="20"/>
        </w:rPr>
        <w:t>ДОГОВОР ПОСТАВКИ № _________</w:t>
      </w:r>
    </w:p>
    <w:p>
      <w:pPr>
        <w:pStyle w:val="Normal"/>
        <w:spacing w:lineRule="atLeast" w:line="20"/>
        <w:rPr>
          <w:b/>
          <w:b/>
        </w:rPr>
      </w:pPr>
      <w:r>
        <w:rPr>
          <w:b/>
        </w:rPr>
      </w:r>
    </w:p>
    <w:tbl>
      <w:tblPr>
        <w:tblW w:w="10300" w:type="dxa"/>
        <w:jc w:val="left"/>
        <w:tblInd w:w="8" w:type="dxa"/>
        <w:tblLayout w:type="fixed"/>
        <w:tblCellMar>
          <w:top w:w="0" w:type="dxa"/>
          <w:left w:w="108" w:type="dxa"/>
          <w:bottom w:w="0" w:type="dxa"/>
          <w:right w:w="108" w:type="dxa"/>
        </w:tblCellMar>
        <w:tblLook w:firstRow="0" w:noVBand="0" w:lastRow="0" w:firstColumn="0" w:lastColumn="0" w:noHBand="0" w:val="0000"/>
      </w:tblPr>
      <w:tblGrid>
        <w:gridCol w:w="4848"/>
        <w:gridCol w:w="5451"/>
      </w:tblGrid>
      <w:tr>
        <w:trPr/>
        <w:tc>
          <w:tcPr>
            <w:tcW w:w="4848" w:type="dxa"/>
            <w:tcBorders/>
          </w:tcPr>
          <w:p>
            <w:pPr>
              <w:pStyle w:val="Normal"/>
              <w:widowControl w:val="false"/>
              <w:spacing w:lineRule="atLeast" w:line="20"/>
              <w:rPr/>
            </w:pPr>
            <w:r>
              <w:rPr/>
              <w:t>г.Тюмень</w:t>
            </w:r>
          </w:p>
          <w:p>
            <w:pPr>
              <w:pStyle w:val="Normal"/>
              <w:widowControl w:val="false"/>
              <w:spacing w:lineRule="atLeast" w:line="20"/>
              <w:jc w:val="both"/>
              <w:rPr/>
            </w:pPr>
            <w:r>
              <w:rPr/>
            </w:r>
          </w:p>
        </w:tc>
        <w:tc>
          <w:tcPr>
            <w:tcW w:w="5451" w:type="dxa"/>
            <w:tcBorders/>
          </w:tcPr>
          <w:p>
            <w:pPr>
              <w:pStyle w:val="Normal"/>
              <w:widowControl w:val="false"/>
              <w:spacing w:lineRule="atLeast" w:line="20"/>
              <w:jc w:val="right"/>
              <w:rPr/>
            </w:pPr>
            <w:r>
              <w:rPr/>
              <w:t xml:space="preserve">      </w:t>
            </w:r>
            <w:r>
              <w:rPr/>
              <w:t>«___» ________________ 20_ года</w:t>
            </w:r>
          </w:p>
        </w:tc>
      </w:tr>
    </w:tbl>
    <w:p>
      <w:pPr>
        <w:pStyle w:val="Normal"/>
        <w:spacing w:lineRule="atLeast" w:line="20"/>
        <w:ind w:firstLine="567"/>
        <w:jc w:val="both"/>
        <w:rPr/>
      </w:pPr>
      <w:r>
        <w:rPr/>
        <w:t xml:space="preserve">Государственное автономное учреждение Тюменской области «________________», именуемое в дальнейшем </w:t>
      </w:r>
      <w:r>
        <w:rPr>
          <w:b/>
        </w:rPr>
        <w:t>«Покупатель» (Заказчик)</w:t>
      </w:r>
      <w:r>
        <w:rPr/>
        <w:t xml:space="preserve">, в лице ____________________________, действующего на основании Устава, с одной стороны и </w:t>
      </w:r>
    </w:p>
    <w:p>
      <w:pPr>
        <w:pStyle w:val="Normal"/>
        <w:spacing w:lineRule="atLeast" w:line="20"/>
        <w:ind w:firstLine="567"/>
        <w:jc w:val="both"/>
        <w:rPr/>
      </w:pPr>
      <w:r>
        <w:rPr>
          <w:bCs/>
        </w:rPr>
        <w:t>_____________________________________</w:t>
      </w:r>
      <w:r>
        <w:rPr>
          <w:b/>
          <w:bCs/>
        </w:rPr>
        <w:t xml:space="preserve">, </w:t>
      </w:r>
      <w:r>
        <w:rPr/>
        <w:t xml:space="preserve">именуемое в дальнейшем </w:t>
      </w:r>
      <w:r>
        <w:rPr>
          <w:b/>
        </w:rPr>
        <w:t>«Поставщик»</w:t>
      </w:r>
      <w:r>
        <w:rPr/>
        <w:t xml:space="preserve">, в лице _________________________________________, действующей на основании ___________, </w:t>
      </w:r>
      <w:r>
        <w:rPr>
          <w:bCs/>
        </w:rPr>
        <w:t xml:space="preserve">с другой стороны, </w:t>
      </w:r>
      <w:r>
        <w:rPr/>
        <w:t xml:space="preserve">в дальнейшем вместе  именуемые </w:t>
      </w:r>
      <w:r>
        <w:rPr>
          <w:b/>
        </w:rPr>
        <w:t>«Стороны»</w:t>
      </w:r>
      <w:r>
        <w:rPr/>
        <w:t>, в соответствии с Федеральным Законом «О закупках товаров, работ, услуг отдельными видами юридических лиц» от 18.07.2011г. №223-ФЗ, Положением о закупке товаров, работ, услуг ГАУ ТО "ОМУТИНСКИЙ ВЕТЦЕНТР", на основании протокола проведения запроса котировок в электронной форме___________ заключили настоящий договор о нижеследующем:</w:t>
      </w:r>
    </w:p>
    <w:p>
      <w:pPr>
        <w:pStyle w:val="Normal"/>
        <w:spacing w:lineRule="atLeast" w:line="20"/>
        <w:ind w:firstLine="567"/>
        <w:jc w:val="both"/>
        <w:rPr/>
      </w:pPr>
      <w:r>
        <w:rPr/>
      </w:r>
    </w:p>
    <w:p>
      <w:pPr>
        <w:pStyle w:val="Normal"/>
        <w:spacing w:lineRule="atLeast" w:line="20"/>
        <w:jc w:val="center"/>
        <w:rPr/>
      </w:pPr>
      <w:r>
        <w:rPr>
          <w:b/>
        </w:rPr>
        <w:t>1. ПРЕДМЕТ ДОГОВОРА</w:t>
      </w:r>
    </w:p>
    <w:p>
      <w:pPr>
        <w:pStyle w:val="ListParagraph"/>
        <w:numPr>
          <w:ilvl w:val="1"/>
          <w:numId w:val="2"/>
        </w:numPr>
        <w:suppressAutoHyphens w:val="false"/>
        <w:spacing w:lineRule="atLeast" w:line="20"/>
        <w:ind w:left="0" w:firstLine="709"/>
        <w:jc w:val="both"/>
        <w:rPr>
          <w:sz w:val="20"/>
          <w:szCs w:val="20"/>
        </w:rPr>
      </w:pPr>
      <w:r>
        <w:rPr>
          <w:sz w:val="20"/>
          <w:szCs w:val="20"/>
        </w:rPr>
        <w:t>Предметом настоящего Договора является Поставка ГСМ через АЗС по топливным картам для нужд ГАУ ТО «Омутинский ветцентр» (далее – Товар) через сеть автозаправочных станций в количестве и в ассортименте, указанном в Спецификации (Приложение №1 к настоящему Договору), являющейся неотъемлемой частью настоящего Договора.</w:t>
      </w:r>
    </w:p>
    <w:p>
      <w:pPr>
        <w:pStyle w:val="ListParagraph"/>
        <w:numPr>
          <w:ilvl w:val="1"/>
          <w:numId w:val="2"/>
        </w:numPr>
        <w:suppressAutoHyphens w:val="false"/>
        <w:spacing w:lineRule="atLeast" w:line="20"/>
        <w:ind w:left="0" w:firstLine="709"/>
        <w:jc w:val="both"/>
        <w:rPr>
          <w:sz w:val="20"/>
          <w:szCs w:val="20"/>
        </w:rPr>
      </w:pPr>
      <w:r>
        <w:rPr>
          <w:sz w:val="20"/>
          <w:szCs w:val="20"/>
        </w:rPr>
        <w:t xml:space="preserve"> </w:t>
      </w:r>
      <w:r>
        <w:rPr>
          <w:sz w:val="20"/>
          <w:szCs w:val="20"/>
        </w:rPr>
        <w:t>Пластиковая карта является техническим средством учета операций получения Товара Заказчиком и не является платежным средством. Право собственности на Товар переходит Заказчику в момент их непосредственного получения на АЗС (Точки обслуживания Заказчика). Заказчик обязуется принять и оплатить Товар в порядке и в сроки, предусмотренные настоящим договором.</w:t>
      </w:r>
    </w:p>
    <w:p>
      <w:pPr>
        <w:pStyle w:val="ListParagraph"/>
        <w:numPr>
          <w:ilvl w:val="1"/>
          <w:numId w:val="2"/>
        </w:numPr>
        <w:suppressAutoHyphens w:val="false"/>
        <w:spacing w:lineRule="atLeast" w:line="20"/>
        <w:ind w:left="0" w:firstLine="709"/>
        <w:jc w:val="both"/>
        <w:rPr>
          <w:sz w:val="20"/>
          <w:szCs w:val="20"/>
        </w:rPr>
      </w:pPr>
      <w:r>
        <w:rPr>
          <w:sz w:val="20"/>
          <w:szCs w:val="20"/>
        </w:rPr>
        <w:t>Пластиковые карты предоставляются заказчику на основании письменно оформленной заявки, по форме в соответствии с Приложением №3 к настоящему Договору. В Заявке на получение пластиковой карты согласуется наименование и количество Товара, отпускаемого по Карте. Количество и наименование Товара считается согласованным Сторонами с момента выдачи карт Заказчику по Акту приема-передачи Карт.</w:t>
      </w:r>
    </w:p>
    <w:p>
      <w:pPr>
        <w:pStyle w:val="Normal"/>
        <w:spacing w:lineRule="atLeast" w:line="20"/>
        <w:ind w:firstLine="708"/>
        <w:jc w:val="both"/>
        <w:rPr/>
      </w:pPr>
      <w:r>
        <w:rPr/>
        <w:t>1.4. Поставляемый Товар должен быть сертифицирован и соответствовать Постановлению Правительства РФ от 27.02.2008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(с последующими изменениями). Качество бензина должно соответствовать требованиям, установленным ТР ТС 013/2011 «О требованиях к автомобильному и авиационному бензину, дизельному и судовому топливу, топливу для реактивных двигателей и  мазуту», утвержденным Решением Комиссии Таможенного союза от 18.10.2011№826; государственным стандартам РФ: ГОСТ Р 51105-2020 «Топлива для двигателей внутреннего сгорания. Неэтилированный бензин. Технические условия»,  ГОСТ 51866-2002 «Топлива моторные. Бензин неэтилированный. Технические условия», ГОСТ 305-2013 «Топливо дизельное. Технические условия».</w:t>
      </w:r>
    </w:p>
    <w:p>
      <w:pPr>
        <w:pStyle w:val="ListParagraph"/>
        <w:numPr>
          <w:ilvl w:val="1"/>
          <w:numId w:val="3"/>
        </w:numPr>
        <w:suppressAutoHyphens w:val="false"/>
        <w:spacing w:lineRule="atLeast" w:line="20"/>
        <w:ind w:left="0" w:firstLine="708"/>
        <w:jc w:val="both"/>
        <w:rPr>
          <w:sz w:val="20"/>
          <w:szCs w:val="20"/>
        </w:rPr>
      </w:pPr>
      <w:r>
        <w:rPr>
          <w:sz w:val="20"/>
          <w:szCs w:val="20"/>
        </w:rPr>
        <w:t xml:space="preserve">Право собственности на Товар и риск его случайной гибели переходят от Поставщика к Заказчику с момента регистрации в учетном терминале операции по передаче (отпуску) Товара Заказчику. </w:t>
      </w:r>
    </w:p>
    <w:p>
      <w:pPr>
        <w:pStyle w:val="ListParagraph"/>
        <w:numPr>
          <w:ilvl w:val="1"/>
          <w:numId w:val="3"/>
        </w:numPr>
        <w:suppressAutoHyphens w:val="false"/>
        <w:spacing w:lineRule="atLeast" w:line="20"/>
        <w:ind w:left="0" w:firstLine="709"/>
        <w:jc w:val="both"/>
        <w:rPr>
          <w:sz w:val="20"/>
          <w:szCs w:val="20"/>
        </w:rPr>
      </w:pPr>
      <w:r>
        <w:rPr>
          <w:sz w:val="20"/>
          <w:szCs w:val="20"/>
        </w:rPr>
        <w:t>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pPr>
        <w:pStyle w:val="ListParagraph"/>
        <w:numPr>
          <w:ilvl w:val="1"/>
          <w:numId w:val="3"/>
        </w:numPr>
        <w:suppressAutoHyphens w:val="false"/>
        <w:spacing w:lineRule="atLeast" w:line="20"/>
        <w:ind w:left="0" w:firstLine="709"/>
        <w:jc w:val="both"/>
        <w:rPr>
          <w:sz w:val="20"/>
          <w:szCs w:val="20"/>
        </w:rPr>
      </w:pPr>
      <w:r>
        <w:rPr>
          <w:sz w:val="20"/>
          <w:szCs w:val="20"/>
        </w:rPr>
        <w:t>В случае перемены Заказчика права и обязанности, предусмотренные договором, переходят к новому Заказчику.</w:t>
      </w:r>
    </w:p>
    <w:p>
      <w:pPr>
        <w:pStyle w:val="ListParagraph"/>
        <w:numPr>
          <w:ilvl w:val="1"/>
          <w:numId w:val="3"/>
        </w:numPr>
        <w:suppressAutoHyphens w:val="false"/>
        <w:spacing w:lineRule="atLeast" w:line="20"/>
        <w:ind w:left="0" w:firstLine="709"/>
        <w:jc w:val="both"/>
        <w:rPr>
          <w:sz w:val="20"/>
          <w:szCs w:val="20"/>
        </w:rPr>
      </w:pPr>
      <w:r>
        <w:rPr>
          <w:sz w:val="20"/>
          <w:szCs w:val="20"/>
        </w:rPr>
        <w:t>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pPr>
        <w:pStyle w:val="Normal"/>
        <w:spacing w:lineRule="atLeast" w:line="20"/>
        <w:ind w:firstLine="567"/>
        <w:jc w:val="both"/>
        <w:rPr/>
      </w:pPr>
      <w:r>
        <w:rPr/>
      </w:r>
    </w:p>
    <w:p>
      <w:pPr>
        <w:pStyle w:val="ListParagraph"/>
        <w:numPr>
          <w:ilvl w:val="0"/>
          <w:numId w:val="3"/>
        </w:numPr>
        <w:suppressAutoHyphens w:val="false"/>
        <w:spacing w:lineRule="atLeast" w:line="20"/>
        <w:ind w:left="0" w:firstLine="709"/>
        <w:jc w:val="center"/>
        <w:rPr>
          <w:b/>
          <w:b/>
          <w:sz w:val="20"/>
          <w:szCs w:val="20"/>
        </w:rPr>
      </w:pPr>
      <w:r>
        <w:rPr>
          <w:b/>
          <w:sz w:val="20"/>
          <w:szCs w:val="20"/>
        </w:rPr>
        <w:t>Цена Договора и порядок оплаты</w:t>
      </w:r>
    </w:p>
    <w:p>
      <w:pPr>
        <w:pStyle w:val="ListParagraph"/>
        <w:spacing w:lineRule="atLeast" w:line="20"/>
        <w:ind w:left="0" w:firstLine="708"/>
        <w:jc w:val="both"/>
        <w:rPr>
          <w:sz w:val="20"/>
          <w:szCs w:val="20"/>
        </w:rPr>
      </w:pPr>
      <w:r>
        <w:rPr>
          <w:sz w:val="20"/>
          <w:szCs w:val="20"/>
        </w:rPr>
        <w:t>2.1. Цена Договора является твердой и определяется на весь срок исполнения настоящего Договора и составляет __________________, в т.ч. НДС (____%) ___________________ руб. (В случае если Поставщик не является плательщиком НДС, указать НДС не облагается и основание. Если стороной по Договору является физическое лицо, сумма, подлежащая уплате физическому лицу уменьшается на размер налоговых платежей, связанных с оплатой Договора). На момент передачи заправочной карты Заказчику цена единицы товара не должна превышать розничную цену товара, действующую на АЗС Поставщика, а также цену единицы товара, установленную в соответствии с условиями настоящего договора.</w:t>
      </w:r>
    </w:p>
    <w:p>
      <w:pPr>
        <w:pStyle w:val="ListParagraph"/>
        <w:tabs>
          <w:tab w:val="clear" w:pos="708"/>
          <w:tab w:val="left" w:pos="1134" w:leader="none"/>
        </w:tabs>
        <w:spacing w:lineRule="atLeast" w:line="20"/>
        <w:ind w:left="0" w:firstLine="708"/>
        <w:jc w:val="both"/>
        <w:rPr>
          <w:sz w:val="20"/>
          <w:szCs w:val="20"/>
        </w:rPr>
      </w:pPr>
      <w:r>
        <w:rPr>
          <w:sz w:val="20"/>
          <w:szCs w:val="20"/>
        </w:rPr>
        <w:t xml:space="preserve">2.2.   Цена договора включает в себя стоимость товара, а также расходы и затраты, связанные с поставкой товара, налоги и сборы, установленные действующим законодательством РФ, а также стоимость пластиковых карт. </w:t>
      </w:r>
    </w:p>
    <w:p>
      <w:pPr>
        <w:pStyle w:val="ListParagraph"/>
        <w:spacing w:lineRule="atLeast" w:line="20"/>
        <w:ind w:left="0" w:firstLine="708"/>
        <w:jc w:val="both"/>
        <w:rPr>
          <w:sz w:val="20"/>
          <w:szCs w:val="20"/>
        </w:rPr>
      </w:pPr>
      <w:r>
        <w:rPr>
          <w:sz w:val="20"/>
          <w:szCs w:val="20"/>
        </w:rPr>
        <w:t>2.3. Источник финансирования: за счет доходов, полученных от приносящей доход деятельности, и субсидии на выполнение государственного задания.</w:t>
      </w:r>
    </w:p>
    <w:p>
      <w:pPr>
        <w:pStyle w:val="ListParagraph"/>
        <w:spacing w:lineRule="atLeast" w:line="20"/>
        <w:ind w:left="0" w:firstLine="708"/>
        <w:jc w:val="both"/>
        <w:rPr>
          <w:sz w:val="20"/>
          <w:szCs w:val="20"/>
        </w:rPr>
      </w:pPr>
      <w:r>
        <w:rPr>
          <w:sz w:val="20"/>
          <w:szCs w:val="20"/>
        </w:rPr>
        <w:t>В связи с тем, что оплата по настоящему договору будет производиться за счёт субсидии на выполнение государственного задания, предоставляемой Покупателю из областного бюджета учредителем — Управлением ветеринарии Тюменской области, то по соглашению сторон возможны изменения размера и (или) сроков оплаты и (или) объема Товара в случае уменьшения в соответствии с Бюджетным кодексом Российской Федерации Управлению ветеринарии Тюменской области, ранее доведенных лимитов бюджетных обязательств на предоставление субсидии в порядке, установленном Департаментом финансов Тюменской области</w:t>
      </w:r>
    </w:p>
    <w:p>
      <w:pPr>
        <w:pStyle w:val="ListParagraph"/>
        <w:numPr>
          <w:ilvl w:val="1"/>
          <w:numId w:val="5"/>
        </w:numPr>
        <w:suppressAutoHyphens w:val="false"/>
        <w:spacing w:lineRule="atLeast" w:line="20"/>
        <w:ind w:left="0" w:firstLine="708"/>
        <w:jc w:val="both"/>
        <w:rPr>
          <w:sz w:val="20"/>
          <w:szCs w:val="20"/>
        </w:rPr>
      </w:pPr>
      <w:r>
        <w:rPr>
          <w:sz w:val="20"/>
          <w:szCs w:val="20"/>
        </w:rPr>
        <w:t>Заказчик оплачивает фактически поставленный Поставщиком Товар, в соответствии с Договором, путем перечисления соответствующей суммы на расчетный счет Поставщика.</w:t>
      </w:r>
    </w:p>
    <w:p>
      <w:pPr>
        <w:pStyle w:val="ListParagraph"/>
        <w:numPr>
          <w:ilvl w:val="1"/>
          <w:numId w:val="5"/>
        </w:numPr>
        <w:suppressAutoHyphens w:val="false"/>
        <w:spacing w:lineRule="atLeast" w:line="20"/>
        <w:ind w:left="0" w:firstLine="708"/>
        <w:jc w:val="both"/>
        <w:rPr>
          <w:sz w:val="20"/>
          <w:szCs w:val="20"/>
        </w:rPr>
      </w:pPr>
      <w:r>
        <w:rPr>
          <w:sz w:val="20"/>
          <w:szCs w:val="20"/>
        </w:rPr>
        <w:t>Поставщик до 5-го числа месяца, следующего за отчетным, выставляет Заказчику следующие документы, содержащие данные за отчетный месяц, оформленные надлежащим образом: счет, счет-фактура, товарная накладная, Акт приема-передачи Товара на количество и стоимость полученного Товара.</w:t>
      </w:r>
    </w:p>
    <w:p>
      <w:pPr>
        <w:pStyle w:val="ListParagraph"/>
        <w:numPr>
          <w:ilvl w:val="1"/>
          <w:numId w:val="5"/>
        </w:numPr>
        <w:suppressAutoHyphens w:val="false"/>
        <w:spacing w:lineRule="atLeast" w:line="20"/>
        <w:ind w:left="0" w:firstLine="720"/>
        <w:jc w:val="both"/>
        <w:rPr>
          <w:sz w:val="20"/>
          <w:szCs w:val="20"/>
        </w:rPr>
      </w:pPr>
      <w:r>
        <w:rPr>
          <w:sz w:val="20"/>
          <w:szCs w:val="20"/>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по реквизитам, указанным в Договоре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pPr>
        <w:pStyle w:val="ListParagraph"/>
        <w:numPr>
          <w:ilvl w:val="1"/>
          <w:numId w:val="5"/>
        </w:numPr>
        <w:suppressAutoHyphens w:val="false"/>
        <w:spacing w:lineRule="atLeast" w:line="20"/>
        <w:ind w:left="0" w:firstLine="720"/>
        <w:jc w:val="both"/>
        <w:rPr>
          <w:sz w:val="20"/>
          <w:szCs w:val="20"/>
        </w:rPr>
      </w:pPr>
      <w:r>
        <w:rPr>
          <w:sz w:val="20"/>
          <w:szCs w:val="20"/>
        </w:rPr>
        <w:t>Форма оплаты: безналичный расчёт. Авансирование не предусмотрено.</w:t>
      </w:r>
    </w:p>
    <w:p>
      <w:pPr>
        <w:pStyle w:val="ListParagraph"/>
        <w:numPr>
          <w:ilvl w:val="1"/>
          <w:numId w:val="5"/>
        </w:numPr>
        <w:suppressAutoHyphens w:val="false"/>
        <w:spacing w:lineRule="atLeast" w:line="20"/>
        <w:jc w:val="both"/>
        <w:rPr>
          <w:sz w:val="20"/>
          <w:szCs w:val="20"/>
        </w:rPr>
      </w:pPr>
      <w:r>
        <w:rPr>
          <w:sz w:val="20"/>
          <w:szCs w:val="20"/>
        </w:rPr>
        <w:t>Поставщик обязан в платежных поручениях на оплату Товара в графе «Назначение платежа» указывать номер настоящего договора.</w:t>
      </w:r>
    </w:p>
    <w:p>
      <w:pPr>
        <w:pStyle w:val="ListParagraph"/>
        <w:numPr>
          <w:ilvl w:val="1"/>
          <w:numId w:val="5"/>
        </w:numPr>
        <w:suppressAutoHyphens w:val="false"/>
        <w:spacing w:lineRule="atLeast" w:line="20"/>
        <w:ind w:left="0" w:firstLine="709"/>
        <w:jc w:val="both"/>
        <w:rPr>
          <w:sz w:val="20"/>
          <w:szCs w:val="20"/>
        </w:rPr>
      </w:pPr>
      <w:r>
        <w:rPr>
          <w:sz w:val="20"/>
          <w:szCs w:val="20"/>
        </w:rPr>
        <w:t>Датой оплаты Товара считается дата списания денежных средств с расчетного счета Заказчика.</w:t>
      </w:r>
    </w:p>
    <w:p>
      <w:pPr>
        <w:pStyle w:val="ListParagraph"/>
        <w:numPr>
          <w:ilvl w:val="1"/>
          <w:numId w:val="5"/>
        </w:numPr>
        <w:suppressAutoHyphens w:val="false"/>
        <w:spacing w:lineRule="atLeast" w:line="20"/>
        <w:ind w:left="0" w:firstLine="709"/>
        <w:jc w:val="both"/>
        <w:rPr>
          <w:sz w:val="20"/>
          <w:szCs w:val="20"/>
        </w:rPr>
      </w:pPr>
      <w:r>
        <w:rPr>
          <w:sz w:val="20"/>
          <w:szCs w:val="20"/>
        </w:rPr>
        <w:t>По окончании срока поставки Товара Поставщик выдает ответственному лицу Заказчика Акт сверки взаиморасчетов. Заказчик обязан в течение десяти рабочих дней с момента получения акта подписать его и вернуть в адрес Поставщика. В случае разногласий по акту сверки взаиморасчетов Заказчик обязан представить Поставщику мотивированные возражения.</w:t>
      </w:r>
    </w:p>
    <w:p>
      <w:pPr>
        <w:pStyle w:val="ListParagraph"/>
        <w:numPr>
          <w:ilvl w:val="1"/>
          <w:numId w:val="5"/>
        </w:numPr>
        <w:suppressAutoHyphens w:val="false"/>
        <w:spacing w:lineRule="atLeast" w:line="20"/>
        <w:ind w:left="0" w:firstLine="709"/>
        <w:jc w:val="both"/>
        <w:rPr>
          <w:sz w:val="20"/>
          <w:szCs w:val="20"/>
        </w:rPr>
      </w:pPr>
      <w:r>
        <w:rPr>
          <w:sz w:val="20"/>
          <w:szCs w:val="20"/>
        </w:rPr>
        <w:t>В случае если Договор заключается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Договора.</w:t>
      </w:r>
    </w:p>
    <w:p>
      <w:pPr>
        <w:pStyle w:val="ListParagraph"/>
        <w:spacing w:lineRule="atLeast" w:line="20"/>
        <w:ind w:left="709" w:hanging="0"/>
        <w:jc w:val="both"/>
        <w:rPr>
          <w:sz w:val="20"/>
          <w:szCs w:val="20"/>
        </w:rPr>
      </w:pPr>
      <w:r>
        <w:rPr>
          <w:sz w:val="20"/>
          <w:szCs w:val="20"/>
        </w:rPr>
      </w:r>
    </w:p>
    <w:p>
      <w:pPr>
        <w:pStyle w:val="Normal"/>
        <w:numPr>
          <w:ilvl w:val="0"/>
          <w:numId w:val="5"/>
        </w:numPr>
        <w:spacing w:lineRule="atLeast" w:line="20"/>
        <w:ind w:left="0" w:hanging="0"/>
        <w:jc w:val="center"/>
        <w:rPr>
          <w:b/>
          <w:b/>
        </w:rPr>
      </w:pPr>
      <w:r>
        <w:rPr>
          <w:b/>
        </w:rPr>
        <w:t>Порядок и условия получения Товара. Качество Товара</w:t>
      </w:r>
    </w:p>
    <w:p>
      <w:pPr>
        <w:pStyle w:val="ListParagraph"/>
        <w:suppressAutoHyphens w:val="false"/>
        <w:spacing w:lineRule="atLeast" w:line="20"/>
        <w:ind w:left="709" w:hanging="0"/>
        <w:rPr>
          <w:b/>
          <w:b/>
          <w:sz w:val="20"/>
          <w:szCs w:val="20"/>
        </w:rPr>
      </w:pPr>
      <w:r>
        <w:rPr>
          <w:b/>
          <w:sz w:val="20"/>
          <w:szCs w:val="20"/>
        </w:rPr>
      </w:r>
    </w:p>
    <w:p>
      <w:pPr>
        <w:pStyle w:val="ListParagraph"/>
        <w:spacing w:lineRule="atLeast" w:line="20"/>
        <w:ind w:left="0" w:firstLine="708"/>
        <w:jc w:val="both"/>
        <w:rPr>
          <w:sz w:val="20"/>
          <w:szCs w:val="20"/>
        </w:rPr>
      </w:pPr>
      <w:r>
        <w:rPr>
          <w:sz w:val="20"/>
          <w:szCs w:val="20"/>
        </w:rPr>
        <w:t>3.1. Поставка Товара осуществляется путем заправки автотранспорта по пластиковым картам.</w:t>
      </w:r>
    </w:p>
    <w:p>
      <w:pPr>
        <w:pStyle w:val="ListParagraph"/>
        <w:spacing w:lineRule="atLeast" w:line="20"/>
        <w:ind w:left="0" w:firstLine="708"/>
        <w:jc w:val="both"/>
        <w:rPr>
          <w:sz w:val="20"/>
          <w:szCs w:val="20"/>
        </w:rPr>
      </w:pPr>
      <w:r>
        <w:rPr>
          <w:sz w:val="20"/>
          <w:szCs w:val="20"/>
        </w:rPr>
        <w:t>3.2. Для реализации возможности получения Товара Поставщик на основании заявки Заказчика, в течение 2 (двух) рабочих дней передает последнему пластиковые карты на период срока действия настоящего договора. В заявке на выдачу пластиковых карт Заказчик в обязательном порядке указывает необходимое количество пластиковых карт, требуемый ассортимент и количество Товара по каждой карте. Факт передачи Карт оформляется Актом приема-передачи. Заказчик в течение 5 (пяти) рабочих дней от даты расторжения или истечения срока действия настоящего договора обязан вернуть Поставщику все полученные по настоящему договору Карты путем оформления Акта приема-передачи Карт.</w:t>
      </w:r>
    </w:p>
    <w:p>
      <w:pPr>
        <w:pStyle w:val="ListParagraph"/>
        <w:spacing w:lineRule="atLeast" w:line="20"/>
        <w:ind w:left="0" w:firstLine="708"/>
        <w:jc w:val="both"/>
        <w:rPr>
          <w:sz w:val="20"/>
          <w:szCs w:val="20"/>
        </w:rPr>
      </w:pPr>
      <w:r>
        <w:rPr>
          <w:sz w:val="20"/>
          <w:szCs w:val="20"/>
        </w:rPr>
        <w:t>3.3. Пластиковые карты в целях настоящего Договора не имеют статуса кредитных и расчетных карточек, установленных действующим законодательством Российской Федерации.</w:t>
      </w:r>
    </w:p>
    <w:p>
      <w:pPr>
        <w:pStyle w:val="ListParagraph"/>
        <w:spacing w:lineRule="atLeast" w:line="20"/>
        <w:ind w:left="0" w:firstLine="708"/>
        <w:jc w:val="both"/>
        <w:rPr>
          <w:sz w:val="20"/>
          <w:szCs w:val="20"/>
        </w:rPr>
      </w:pPr>
      <w:r>
        <w:rPr>
          <w:sz w:val="20"/>
          <w:szCs w:val="20"/>
        </w:rPr>
        <w:t>3.4. Заказчик назначает лицо, ответственное за работу с Поставщиком и уполномоченное подавать заявки на выдачу пластиковых карт, изменение ассортимента и количества Товара по картам, блокирование и разблокирование пластиковых карт, подписывать накладную на поставленный Товар, получать отчет о произведенных операциях по пластиковым картам (протокол заправок), счет (счет-фактуру). Полномочия ответственного лица должны быть подтверждены доверенностью, оформленной в установленном порядке.</w:t>
      </w:r>
    </w:p>
    <w:p>
      <w:pPr>
        <w:pStyle w:val="ListParagraph"/>
        <w:spacing w:lineRule="atLeast" w:line="20"/>
        <w:ind w:left="0" w:firstLine="708"/>
        <w:jc w:val="both"/>
        <w:rPr>
          <w:sz w:val="20"/>
          <w:szCs w:val="20"/>
        </w:rPr>
      </w:pPr>
      <w:r>
        <w:rPr>
          <w:sz w:val="20"/>
          <w:szCs w:val="20"/>
        </w:rPr>
        <w:t>3.5. Место поставки Товара: через сеть автозаправочных станций (далее – АЗС) Поставщика, расположенных на территории Тюменской области, включенных в систему обслуживания по электронно-пластиковым (топливным) картам (обязательное наличие заправочных станций на территории с. Омутинского и с. Юргинского Тюменской области).</w:t>
      </w:r>
    </w:p>
    <w:p>
      <w:pPr>
        <w:pStyle w:val="ListParagraph"/>
        <w:spacing w:lineRule="atLeast" w:line="20"/>
        <w:ind w:left="0" w:firstLine="708"/>
        <w:jc w:val="both"/>
        <w:rPr>
          <w:sz w:val="20"/>
          <w:szCs w:val="20"/>
        </w:rPr>
      </w:pPr>
      <w:r>
        <w:rPr>
          <w:sz w:val="20"/>
          <w:szCs w:val="20"/>
        </w:rPr>
        <w:t>3.6. Срок поставки товара: с 01.01.2027 до 31.12.2027 года. Товар отпускается ежедневно и круглосуточно.</w:t>
      </w:r>
    </w:p>
    <w:p>
      <w:pPr>
        <w:pStyle w:val="ListParagraph"/>
        <w:spacing w:lineRule="atLeast" w:line="20"/>
        <w:ind w:left="0" w:firstLine="708"/>
        <w:jc w:val="both"/>
        <w:rPr>
          <w:sz w:val="20"/>
          <w:szCs w:val="20"/>
        </w:rPr>
      </w:pPr>
      <w:r>
        <w:rPr>
          <w:sz w:val="20"/>
          <w:szCs w:val="20"/>
        </w:rPr>
        <w:t xml:space="preserve">3.7. Условия поставки Товара: </w:t>
      </w:r>
    </w:p>
    <w:p>
      <w:pPr>
        <w:pStyle w:val="ListParagraph"/>
        <w:spacing w:lineRule="atLeast" w:line="20"/>
        <w:ind w:left="0" w:firstLine="708"/>
        <w:jc w:val="both"/>
        <w:rPr>
          <w:sz w:val="20"/>
          <w:szCs w:val="20"/>
        </w:rPr>
      </w:pPr>
      <w:r>
        <w:rPr>
          <w:sz w:val="20"/>
          <w:szCs w:val="20"/>
        </w:rPr>
        <w:t>Поставка (отпуск) топлива осуществляется с использованием топливных карт путем безналичных расчетов на АЗС, включенных в систему обслуживания по электронно-пластиковым (топливным) картам. Топливная карта должна представлять собой номерную пластиковую карту с встроенной микросхемой, предназначенной для приобретения ГСМ на АЗС Поставщика, в пределах количества денежных средств на карте с учетом установленных лимитов, с обеспечением возможности срочной блокировки утерянной карты.</w:t>
      </w:r>
    </w:p>
    <w:p>
      <w:pPr>
        <w:pStyle w:val="ListParagraph"/>
        <w:spacing w:lineRule="atLeast" w:line="20"/>
        <w:ind w:left="0" w:firstLine="708"/>
        <w:jc w:val="both"/>
        <w:rPr>
          <w:sz w:val="20"/>
          <w:szCs w:val="20"/>
        </w:rPr>
      </w:pPr>
      <w:r>
        <w:rPr>
          <w:sz w:val="20"/>
          <w:szCs w:val="20"/>
        </w:rPr>
        <w:t>3.8. Получение Заказчиком Товара подтверждается терминальным чеком. Терминальный чек выдается при получении Товара на АЗС Заказчику, второй экземпляр чека остается на АЗС.</w:t>
      </w:r>
    </w:p>
    <w:p>
      <w:pPr>
        <w:pStyle w:val="ListParagraph"/>
        <w:spacing w:lineRule="atLeast" w:line="20"/>
        <w:ind w:left="0" w:firstLine="708"/>
        <w:jc w:val="both"/>
        <w:rPr>
          <w:sz w:val="20"/>
          <w:szCs w:val="20"/>
        </w:rPr>
      </w:pPr>
      <w:r>
        <w:rPr>
          <w:sz w:val="20"/>
          <w:szCs w:val="20"/>
        </w:rPr>
        <w:t>3.9. Любое лицо, являющееся фактическим держателем карты (далее именуется – Держатель карты), переданной Поставщиком во исполнение настоящего договора, уполномочен Заказчиком на получение Товара с использованием пластиковой карты. Поставщик, сотрудники и обслуживающий персонал АЗС не имеют права и не обязаны проводить дальнейшую проверку личности или наличие соответствующих полномочий у Держателя карты.</w:t>
      </w:r>
    </w:p>
    <w:p>
      <w:pPr>
        <w:pStyle w:val="ListParagraph"/>
        <w:spacing w:lineRule="atLeast" w:line="20"/>
        <w:ind w:left="0" w:firstLine="708"/>
        <w:jc w:val="both"/>
        <w:rPr>
          <w:sz w:val="20"/>
          <w:szCs w:val="20"/>
        </w:rPr>
      </w:pPr>
      <w:r>
        <w:rPr>
          <w:sz w:val="20"/>
          <w:szCs w:val="20"/>
        </w:rPr>
        <w:t xml:space="preserve">3.10. Приемка товара Заказчиком производится на основании Акта приема-передачи Товара в течение 5 (пяти) рабочих дней с момента получения его от Поставщика. </w:t>
      </w:r>
    </w:p>
    <w:p>
      <w:pPr>
        <w:pStyle w:val="ListParagraph"/>
        <w:spacing w:lineRule="atLeast" w:line="20"/>
        <w:ind w:left="0" w:firstLine="708"/>
        <w:jc w:val="both"/>
        <w:rPr>
          <w:sz w:val="20"/>
          <w:szCs w:val="20"/>
        </w:rPr>
      </w:pPr>
      <w:r>
        <w:rPr>
          <w:sz w:val="20"/>
          <w:szCs w:val="20"/>
        </w:rPr>
        <w:t>3.11. Заказчик подписывает Акт приема-передачи Товара и счет – фактуру при отсутствии претензий к товару, в течение 5 (пяти) рабочих дней с момента окончания проведения приемки Товара, и в течение 3 (трех) рабочих дней Заказчик направляет указанные документы Поставщику.</w:t>
      </w:r>
    </w:p>
    <w:p>
      <w:pPr>
        <w:pStyle w:val="ListParagraph"/>
        <w:spacing w:lineRule="atLeast" w:line="20"/>
        <w:ind w:left="0" w:firstLine="708"/>
        <w:jc w:val="both"/>
        <w:rPr>
          <w:sz w:val="20"/>
          <w:szCs w:val="20"/>
        </w:rPr>
      </w:pPr>
      <w:r>
        <w:rPr>
          <w:sz w:val="20"/>
          <w:szCs w:val="20"/>
        </w:rPr>
        <w:t>3.12. Недостатки, выявленные в ходе приемки товара, фиксируются в акте о выявленных недостатках и должны быть устранены Поставщиком за свой счет в течение 5 (пяти) рабочих дней с момента подписания акта о выявленных недостатках.</w:t>
      </w:r>
    </w:p>
    <w:p>
      <w:pPr>
        <w:pStyle w:val="Normal"/>
        <w:spacing w:lineRule="atLeast" w:line="20"/>
        <w:ind w:firstLine="709"/>
        <w:jc w:val="both"/>
        <w:rPr/>
      </w:pPr>
      <w:r>
        <w:rPr/>
        <w:t>3.13. Качество Товара должно соответствовать требованиям действующих ГОСТ(ТУ), иных нормативных актов РФ,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находящимся на Торговых точках (АЗС) и предоставляемых по первому требованию Заказчика.</w:t>
      </w:r>
    </w:p>
    <w:p>
      <w:pPr>
        <w:pStyle w:val="Normal"/>
        <w:spacing w:lineRule="atLeast" w:line="20"/>
        <w:ind w:firstLine="709"/>
        <w:jc w:val="both"/>
        <w:rPr/>
      </w:pPr>
      <w:r>
        <w:rPr/>
        <w:t>3.14. При предъявлении претензий по качеству и/или количеству полученного Товара Заказчик обязан предъявить Поставщику документ, подтверждающий факт получения Товара на АЗС - терминальный чек. Без терминального чека претензии по качеству и количеству полученного Товара не принимаются.</w:t>
      </w:r>
      <w:r>
        <w:rPr>
          <w:b/>
        </w:rPr>
        <w:t xml:space="preserve"> </w:t>
      </w:r>
    </w:p>
    <w:p>
      <w:pPr>
        <w:pStyle w:val="ListParagraph"/>
        <w:spacing w:lineRule="atLeast" w:line="20"/>
        <w:ind w:left="0" w:firstLine="708"/>
        <w:jc w:val="both"/>
        <w:rPr>
          <w:sz w:val="20"/>
          <w:szCs w:val="20"/>
        </w:rPr>
      </w:pPr>
      <w:r>
        <w:rPr>
          <w:sz w:val="20"/>
          <w:szCs w:val="20"/>
        </w:rPr>
      </w:r>
    </w:p>
    <w:p>
      <w:pPr>
        <w:pStyle w:val="ListParagraph"/>
        <w:numPr>
          <w:ilvl w:val="0"/>
          <w:numId w:val="5"/>
        </w:numPr>
        <w:suppressAutoHyphens w:val="false"/>
        <w:spacing w:lineRule="atLeast" w:line="20"/>
        <w:ind w:left="0" w:firstLine="709"/>
        <w:jc w:val="center"/>
        <w:rPr>
          <w:b/>
          <w:b/>
          <w:sz w:val="20"/>
          <w:szCs w:val="20"/>
        </w:rPr>
      </w:pPr>
      <w:r>
        <w:rPr>
          <w:b/>
          <w:sz w:val="20"/>
          <w:szCs w:val="20"/>
        </w:rPr>
        <w:t>Права и обязанности Сторон</w:t>
      </w:r>
    </w:p>
    <w:p>
      <w:pPr>
        <w:pStyle w:val="ListParagraph"/>
        <w:numPr>
          <w:ilvl w:val="1"/>
          <w:numId w:val="5"/>
        </w:numPr>
        <w:suppressAutoHyphens w:val="false"/>
        <w:spacing w:lineRule="atLeast" w:line="20"/>
        <w:ind w:left="0" w:firstLine="709"/>
        <w:jc w:val="both"/>
        <w:rPr>
          <w:b/>
          <w:b/>
          <w:sz w:val="20"/>
          <w:szCs w:val="20"/>
        </w:rPr>
      </w:pPr>
      <w:r>
        <w:rPr>
          <w:b/>
          <w:sz w:val="20"/>
          <w:szCs w:val="20"/>
        </w:rPr>
        <w:t>Права и обязанности Заказчика:</w:t>
      </w:r>
    </w:p>
    <w:p>
      <w:pPr>
        <w:pStyle w:val="ListParagraph"/>
        <w:numPr>
          <w:ilvl w:val="2"/>
          <w:numId w:val="5"/>
        </w:numPr>
        <w:suppressAutoHyphens w:val="false"/>
        <w:spacing w:lineRule="atLeast" w:line="20"/>
        <w:ind w:left="0" w:firstLine="709"/>
        <w:jc w:val="both"/>
        <w:rPr>
          <w:b/>
          <w:b/>
          <w:sz w:val="20"/>
          <w:szCs w:val="20"/>
        </w:rPr>
      </w:pPr>
      <w:r>
        <w:rPr>
          <w:b/>
          <w:sz w:val="20"/>
          <w:szCs w:val="20"/>
        </w:rPr>
        <w:t>Заказчик обязуется:</w:t>
      </w:r>
    </w:p>
    <w:p>
      <w:pPr>
        <w:pStyle w:val="ListParagraph"/>
        <w:spacing w:lineRule="atLeast" w:line="20"/>
        <w:ind w:left="0" w:firstLine="709"/>
        <w:jc w:val="both"/>
        <w:rPr>
          <w:sz w:val="20"/>
          <w:szCs w:val="20"/>
        </w:rPr>
      </w:pPr>
      <w:r>
        <w:rPr>
          <w:sz w:val="20"/>
          <w:szCs w:val="20"/>
        </w:rPr>
        <w:t>- соблюдать установленный настоящим договором порядок и условия получения товаров на АЗС;</w:t>
      </w:r>
    </w:p>
    <w:p>
      <w:pPr>
        <w:pStyle w:val="ListParagraph"/>
        <w:spacing w:lineRule="atLeast" w:line="20"/>
        <w:ind w:left="0" w:firstLine="709"/>
        <w:jc w:val="both"/>
        <w:rPr>
          <w:sz w:val="20"/>
          <w:szCs w:val="20"/>
        </w:rPr>
      </w:pPr>
      <w:r>
        <w:rPr>
          <w:sz w:val="20"/>
          <w:szCs w:val="20"/>
        </w:rPr>
        <w:t>- осуществлять перечисление денежных средств на расчетный счет Поставщика в соответствии с разделом 2 настоящего Договора;</w:t>
      </w:r>
    </w:p>
    <w:p>
      <w:pPr>
        <w:pStyle w:val="ListParagraph"/>
        <w:spacing w:lineRule="atLeast" w:line="20"/>
        <w:ind w:left="0" w:firstLine="709"/>
        <w:jc w:val="both"/>
        <w:rPr>
          <w:sz w:val="20"/>
          <w:szCs w:val="20"/>
        </w:rPr>
      </w:pPr>
      <w:r>
        <w:rPr>
          <w:sz w:val="20"/>
          <w:szCs w:val="20"/>
        </w:rPr>
        <w:t>- в случае, если Заказчик лишится возможности владеть и пользоваться Картой, незамедлительно заявить о случившемся Поставщику по телефону -________________________ или явившись лично по адресу Поставщика, указанному в разделе 10 настоящего договора;</w:t>
      </w:r>
    </w:p>
    <w:p>
      <w:pPr>
        <w:pStyle w:val="ListParagraph"/>
        <w:spacing w:lineRule="atLeast" w:line="20"/>
        <w:ind w:left="0" w:firstLine="709"/>
        <w:jc w:val="both"/>
        <w:rPr>
          <w:sz w:val="20"/>
          <w:szCs w:val="20"/>
        </w:rPr>
      </w:pPr>
      <w:r>
        <w:rPr>
          <w:sz w:val="20"/>
          <w:szCs w:val="20"/>
        </w:rPr>
        <w:t>- не позднее 5 числа месяца, следующего за отчетным, получить у Поставщика надлежащим образом оформленные счет-фактуру, Акт приема-передачи Товара. В случае неполучения Заказчиком по своей вине документов, указанных в настоящем пункте договора до 5 числа месяца, следующего за отчетным, а также не подписания их в срок, установленный п. 3.13 настоящего Договора, Товар считается переданным Поставщиком надлежащим образом в соответствующем количестве и принятым Заказчиком;</w:t>
      </w:r>
    </w:p>
    <w:p>
      <w:pPr>
        <w:pStyle w:val="Normal"/>
        <w:spacing w:lineRule="atLeast" w:line="20"/>
        <w:ind w:firstLine="709"/>
        <w:jc w:val="both"/>
        <w:rPr>
          <w:b/>
          <w:b/>
        </w:rPr>
      </w:pPr>
      <w:r>
        <w:rPr>
          <w:b/>
        </w:rPr>
        <w:t>4.1.2. Заказчик вправе:</w:t>
      </w:r>
    </w:p>
    <w:p>
      <w:pPr>
        <w:pStyle w:val="Normal"/>
        <w:spacing w:lineRule="atLeast" w:line="20"/>
        <w:ind w:firstLine="709"/>
        <w:jc w:val="both"/>
        <w:rPr/>
      </w:pPr>
      <w:r>
        <w:rPr/>
        <w:t>- требовать от Поставщика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pPr>
        <w:pStyle w:val="Normal"/>
        <w:spacing w:lineRule="atLeast" w:line="20"/>
        <w:ind w:firstLine="709"/>
        <w:jc w:val="both"/>
        <w:rPr/>
      </w:pPr>
      <w:r>
        <w:rPr/>
        <w:t>- в период действия договора по письменному заявлению на имя Поставщика заказать дополнительные Карты, отказаться от использования конкретной Карты, приостановить/заблокировать операции с использованием Карты. Все вышеперечисленные действия, указанные в данном абзаце, оформляются на официальном бланке организации Поставщика с проставлением печати и подписи уполномоченного лица организации Заказчика;</w:t>
      </w:r>
    </w:p>
    <w:p>
      <w:pPr>
        <w:pStyle w:val="Normal"/>
        <w:spacing w:lineRule="atLeast" w:line="20"/>
        <w:ind w:firstLine="709"/>
        <w:jc w:val="both"/>
        <w:rPr/>
      </w:pPr>
      <w:r>
        <w:rPr/>
        <w:t>- получать информацию о качестве Товара и соответствии его ГОСТам, ТУ, а также иные сведения, касающиеся исполнения Договора;</w:t>
      </w:r>
    </w:p>
    <w:p>
      <w:pPr>
        <w:pStyle w:val="Normal"/>
        <w:spacing w:lineRule="atLeast" w:line="20"/>
        <w:ind w:firstLine="709"/>
        <w:jc w:val="both"/>
        <w:rPr>
          <w:b/>
          <w:b/>
        </w:rPr>
      </w:pPr>
      <w:r>
        <w:rPr>
          <w:b/>
        </w:rPr>
        <w:t xml:space="preserve">4.2. Права и обязанности Поставщика: </w:t>
      </w:r>
    </w:p>
    <w:p>
      <w:pPr>
        <w:pStyle w:val="Normal"/>
        <w:spacing w:lineRule="atLeast" w:line="20"/>
        <w:ind w:firstLine="709"/>
        <w:jc w:val="both"/>
        <w:rPr>
          <w:b/>
          <w:b/>
        </w:rPr>
      </w:pPr>
      <w:r>
        <w:rPr>
          <w:b/>
        </w:rPr>
        <w:t>4.2.1. Поставщик обязуется:</w:t>
      </w:r>
    </w:p>
    <w:p>
      <w:pPr>
        <w:pStyle w:val="Normal"/>
        <w:spacing w:lineRule="atLeast" w:line="20"/>
        <w:ind w:firstLine="709"/>
        <w:jc w:val="both"/>
        <w:rPr/>
      </w:pPr>
      <w:r>
        <w:rPr/>
        <w:t>- в течение 1 (одного) рабочего дня после выдачи Карт предоставить Заказчику возможность получения с использованием Карт Товара на АЗС в соответствии с условиями настоящего договора;</w:t>
      </w:r>
    </w:p>
    <w:p>
      <w:pPr>
        <w:pStyle w:val="Normal"/>
        <w:spacing w:lineRule="atLeast" w:line="20"/>
        <w:ind w:firstLine="709"/>
        <w:jc w:val="both"/>
        <w:rPr/>
      </w:pPr>
      <w:r>
        <w:rPr/>
        <w:t>- своевременно информировать Заказчика обо всех изменениях в сети расположения АЗС;</w:t>
      </w:r>
    </w:p>
    <w:p>
      <w:pPr>
        <w:pStyle w:val="Normal"/>
        <w:spacing w:lineRule="atLeast" w:line="20"/>
        <w:ind w:firstLine="709"/>
        <w:jc w:val="both"/>
        <w:rPr/>
      </w:pPr>
      <w:r>
        <w:rPr/>
        <w:t>-в течение 24 часов на АЗС, указанных в приложении к настоящему договору, после получения заявления от Заказчика о потере (порче) Карты приостановить (прекратить) отпуск Товаров по Карте, выданной Заказчику. При этом Товары, отпущенные по Карте, согласно требованиям настоящего пункта договора, подлежат оплате Заказчиком на условиях договора;</w:t>
      </w:r>
    </w:p>
    <w:p>
      <w:pPr>
        <w:pStyle w:val="Normal"/>
        <w:spacing w:lineRule="atLeast" w:line="20"/>
        <w:ind w:firstLine="709"/>
        <w:jc w:val="both"/>
        <w:rPr/>
      </w:pPr>
      <w:r>
        <w:rPr/>
        <w:t>-  снять блокировку Карты в течение 24 часов на АЗС, указанных в приложение к настоящему договору, с момента получения письменного заявления заказчика. Заявление оформляется на официальном бланке организации Заказчика с проставлением печати организации и подписи уполномоченного лица организации Заказчика;</w:t>
      </w:r>
    </w:p>
    <w:p>
      <w:pPr>
        <w:pStyle w:val="Normal"/>
        <w:spacing w:lineRule="atLeast" w:line="20"/>
        <w:ind w:firstLine="709"/>
        <w:jc w:val="both"/>
        <w:rPr>
          <w:b/>
          <w:b/>
        </w:rPr>
      </w:pPr>
      <w:r>
        <w:rPr>
          <w:b/>
        </w:rPr>
        <w:t>4.2.2. Поставщик имеет право:</w:t>
      </w:r>
    </w:p>
    <w:p>
      <w:pPr>
        <w:pStyle w:val="Normal"/>
        <w:spacing w:lineRule="atLeast" w:line="20"/>
        <w:ind w:firstLine="709"/>
        <w:jc w:val="both"/>
        <w:rPr/>
      </w:pPr>
      <w:r>
        <w:rPr/>
        <w:t>- вносить в одностороннем порядке изменения в сеть расположения АЗС в случае, если данные изменения не изменяют существенные условия договора, о чем информирует Заказчика;</w:t>
      </w:r>
    </w:p>
    <w:p>
      <w:pPr>
        <w:pStyle w:val="Normal"/>
        <w:spacing w:lineRule="atLeast" w:line="20"/>
        <w:ind w:firstLine="709"/>
        <w:jc w:val="both"/>
        <w:rPr/>
      </w:pPr>
      <w:r>
        <w:rPr/>
        <w:t>- в случае истечения срока поставки, и/или действия настоящего договора, или его расторжения, или несоблюдения условий по оплате по настоящему договору прекратить отпуск Товаров по Картам (заблокировать Карту);</w:t>
      </w:r>
    </w:p>
    <w:p>
      <w:pPr>
        <w:pStyle w:val="Normal"/>
        <w:spacing w:lineRule="atLeast" w:line="20"/>
        <w:ind w:firstLine="709"/>
        <w:jc w:val="both"/>
        <w:rPr/>
      </w:pPr>
      <w:r>
        <w:rPr/>
        <w:t>- требовать своевременной оплаты поставленных Товаров в соответствии с условиями Договора;</w:t>
      </w:r>
    </w:p>
    <w:p>
      <w:pPr>
        <w:pStyle w:val="Normal"/>
        <w:spacing w:lineRule="atLeast" w:line="20"/>
        <w:ind w:firstLine="709"/>
        <w:jc w:val="both"/>
        <w:rPr/>
      </w:pPr>
      <w:r>
        <w:rPr/>
        <w:t>- требовать уплаты неустоек (штрафов, пеней) в случае просрочки исполнения Заказчиком обязательств, предусмотренных Договором.</w:t>
      </w:r>
    </w:p>
    <w:p>
      <w:pPr>
        <w:pStyle w:val="Normal"/>
        <w:spacing w:lineRule="atLeast" w:line="20"/>
        <w:jc w:val="center"/>
        <w:rPr/>
      </w:pPr>
      <w:r>
        <w:rPr>
          <w:b/>
        </w:rPr>
        <w:t>5. Ответственность сторон</w:t>
      </w:r>
    </w:p>
    <w:p>
      <w:pPr>
        <w:pStyle w:val="Normal"/>
        <w:widowControl w:val="false"/>
        <w:spacing w:lineRule="atLeast" w:line="20"/>
        <w:ind w:firstLine="567"/>
        <w:jc w:val="both"/>
        <w:rPr/>
      </w:pPr>
      <w:r>
        <w:rPr/>
        <w:t xml:space="preserve">5.1. За неисполнение или ненадлежащее исполнение условий Договора Стороны несут ответственность в соответствии с законодательством Российской Федерации.  </w:t>
      </w:r>
    </w:p>
    <w:p>
      <w:pPr>
        <w:pStyle w:val="Normal"/>
        <w:spacing w:lineRule="atLeast" w:line="20"/>
        <w:ind w:firstLine="567"/>
        <w:jc w:val="both"/>
        <w:rPr>
          <w:color w:val="000000"/>
        </w:rPr>
      </w:pPr>
      <w:r>
        <w:rPr/>
        <w:t xml:space="preserve">5.2. </w:t>
      </w:r>
      <w:r>
        <w:rPr>
          <w:color w:val="000000"/>
        </w:rPr>
        <w:t xml:space="preserve">В случае просрочки исполнения </w:t>
      </w:r>
      <w:r>
        <w:rPr>
          <w:color w:val="000000"/>
          <w:u w:val="single"/>
        </w:rPr>
        <w:t>заказчиком</w:t>
      </w:r>
      <w:r>
        <w:rPr>
          <w:color w:val="000000"/>
        </w:rPr>
        <w:t xml:space="preserve"> обязательства, предусмотренного договором, поставщик (исполнитель, подрядчик) вправе потребовать уплаты неустойки (пеней).</w:t>
      </w:r>
    </w:p>
    <w:p>
      <w:pPr>
        <w:pStyle w:val="Normal"/>
        <w:spacing w:lineRule="atLeast" w:line="20"/>
        <w:ind w:firstLine="567"/>
        <w:jc w:val="both"/>
        <w:rPr>
          <w:color w:val="000000"/>
        </w:rPr>
      </w:pPr>
      <w:r>
        <w:rPr>
          <w:color w:val="000000"/>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pPr>
        <w:pStyle w:val="Normal"/>
        <w:spacing w:lineRule="atLeast" w:line="20"/>
        <w:ind w:firstLine="567"/>
        <w:jc w:val="both"/>
        <w:rPr>
          <w:color w:val="000000"/>
        </w:rPr>
      </w:pPr>
      <w:r>
        <w:rPr/>
        <w:t xml:space="preserve">5.3. </w:t>
      </w:r>
      <w:r>
        <w:rPr>
          <w:color w:val="000000"/>
        </w:rPr>
        <w:t xml:space="preserve">В случае просрочки исполнения </w:t>
      </w:r>
      <w:r>
        <w:rPr>
          <w:color w:val="000000"/>
          <w:u w:val="single"/>
        </w:rPr>
        <w:t>поставщиком обязательства</w:t>
      </w:r>
      <w:r>
        <w:rPr>
          <w:color w:val="000000"/>
        </w:rPr>
        <w:t xml:space="preserve">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pPr>
        <w:pStyle w:val="Normal"/>
        <w:spacing w:lineRule="atLeast" w:line="20"/>
        <w:ind w:firstLine="567"/>
        <w:jc w:val="both"/>
        <w:rPr/>
      </w:pPr>
      <w:r>
        <w:rPr>
          <w:color w:val="000000"/>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Pr/>
        <w:t>Поставщик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pPr>
        <w:pStyle w:val="Normal"/>
        <w:spacing w:lineRule="atLeast" w:line="20"/>
        <w:ind w:firstLine="567"/>
        <w:jc w:val="both"/>
        <w:rPr>
          <w:color w:val="000000"/>
        </w:rPr>
      </w:pPr>
      <w:r>
        <w:rPr>
          <w:color w:val="000000"/>
        </w:rPr>
        <w:t xml:space="preserve">5.4. </w:t>
      </w:r>
      <w:r>
        <w:rPr>
          <w:color w:val="000000"/>
          <w:u w:val="single"/>
        </w:rPr>
        <w:t>В случае неисполнения либо не надлежащего исполнения поставщиком</w:t>
      </w:r>
      <w:r>
        <w:rPr>
          <w:color w:val="000000"/>
        </w:rPr>
        <w:t xml:space="preserve"> принятых на себя обязательств, предусмотренных договором, </w:t>
      </w:r>
      <w:r>
        <w:rPr>
          <w:color w:val="000000"/>
          <w:u w:val="single"/>
        </w:rPr>
        <w:t>не связанных с просрочкой исполнения обязательств</w:t>
      </w:r>
      <w:r>
        <w:rPr>
          <w:color w:val="000000"/>
        </w:rPr>
        <w:t xml:space="preserve">,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w:t>
      </w:r>
      <w:r>
        <w:rPr>
          <w:color w:val="000000"/>
          <w:u w:val="single"/>
        </w:rPr>
        <w:t>заказчик вправе</w:t>
      </w:r>
      <w:r>
        <w:rPr>
          <w:color w:val="000000"/>
        </w:rPr>
        <w:t xml:space="preserve">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соответствующего уведомления (претензии).</w:t>
      </w:r>
    </w:p>
    <w:p>
      <w:pPr>
        <w:pStyle w:val="Normal"/>
        <w:spacing w:lineRule="atLeast" w:line="20"/>
        <w:ind w:firstLine="567"/>
        <w:jc w:val="both"/>
        <w:rPr/>
      </w:pPr>
      <w:r>
        <w:rPr/>
        <w:t>В случае применения штрафных санкций в отношении заказчика со стороны третьих лиц по вине поставщика,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pPr>
        <w:pStyle w:val="Normal"/>
        <w:spacing w:lineRule="atLeast" w:line="20"/>
        <w:ind w:firstLine="567"/>
        <w:jc w:val="both"/>
        <w:rPr/>
      </w:pPr>
      <w:r>
        <w:rPr/>
        <w:t>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pPr>
        <w:pStyle w:val="Normal"/>
        <w:spacing w:lineRule="atLeast" w:line="20"/>
        <w:ind w:firstLine="567"/>
        <w:jc w:val="both"/>
        <w:rPr/>
      </w:pPr>
      <w:r>
        <w:rPr/>
        <w:t>Заказчик не несет ответственности по обязательствам поставщика перед третьими лицами.</w:t>
      </w:r>
    </w:p>
    <w:p>
      <w:pPr>
        <w:pStyle w:val="Normal"/>
        <w:spacing w:lineRule="atLeast" w:line="20"/>
        <w:ind w:firstLine="567"/>
        <w:jc w:val="both"/>
        <w:rPr/>
      </w:pPr>
      <w:r>
        <w:rPr/>
        <w:t>5.5.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pPr>
        <w:pStyle w:val="Normal"/>
        <w:spacing w:lineRule="atLeast" w:line="20"/>
        <w:ind w:firstLine="567"/>
        <w:jc w:val="both"/>
        <w:rPr>
          <w:color w:val="000000"/>
        </w:rPr>
      </w:pPr>
      <w:r>
        <w:rPr/>
        <w:t xml:space="preserve">5.6. </w:t>
      </w:r>
      <w:r>
        <w:rPr>
          <w:color w:val="00000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pPr>
        <w:pStyle w:val="Normal"/>
        <w:spacing w:lineRule="atLeast" w:line="20"/>
        <w:ind w:firstLine="567"/>
        <w:jc w:val="both"/>
        <w:rPr/>
      </w:pPr>
      <w:r>
        <w:rPr/>
        <w:t>5.7.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устанавливается договором в соответствии с законодательством Российской Федерации.</w:t>
      </w:r>
    </w:p>
    <w:p>
      <w:pPr>
        <w:pStyle w:val="Normal"/>
        <w:spacing w:lineRule="atLeast" w:line="20"/>
        <w:jc w:val="center"/>
        <w:rPr/>
      </w:pPr>
      <w:r>
        <w:rPr>
          <w:b/>
        </w:rPr>
        <w:t>6. РАЗРЕШЕНИЕ СПОРОВ</w:t>
      </w:r>
    </w:p>
    <w:p>
      <w:pPr>
        <w:pStyle w:val="Normal"/>
        <w:spacing w:lineRule="atLeast" w:line="20"/>
        <w:ind w:firstLine="567"/>
        <w:jc w:val="both"/>
        <w:rPr/>
      </w:pPr>
      <w:r>
        <w:rPr/>
        <w:t>6.1. Все споры и разногласия, которые могут возникнуть в связи с выполнением обязательств по настоящему Договору, Стороны будут стремиться разрешать путем переговоров. Стороны прилагают все усилия для достижения взаимовыгодной договоренности.</w:t>
      </w:r>
    </w:p>
    <w:p>
      <w:pPr>
        <w:pStyle w:val="Normal"/>
        <w:spacing w:lineRule="atLeast" w:line="20"/>
        <w:ind w:firstLine="567"/>
        <w:jc w:val="both"/>
        <w:rPr/>
      </w:pPr>
      <w:r>
        <w:rPr/>
        <w:t>6.2.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Тюменской области.</w:t>
      </w:r>
    </w:p>
    <w:p>
      <w:pPr>
        <w:pStyle w:val="Normal"/>
        <w:widowControl w:val="false"/>
        <w:spacing w:lineRule="atLeast" w:line="20"/>
        <w:jc w:val="center"/>
        <w:rPr/>
      </w:pPr>
      <w:r>
        <w:rPr>
          <w:b/>
        </w:rPr>
        <w:t>7. АНТИКОРРУПЦИОННАЯ ОГОВОРКА</w:t>
      </w:r>
    </w:p>
    <w:p>
      <w:pPr>
        <w:pStyle w:val="Normal"/>
        <w:spacing w:lineRule="atLeast" w:line="20"/>
        <w:ind w:firstLine="567"/>
        <w:jc w:val="both"/>
        <w:rPr/>
      </w:pPr>
      <w:bookmarkStart w:id="1" w:name="sub_1"/>
      <w:r>
        <w:rPr>
          <w:rFonts w:eastAsia="Calibri"/>
          <w:lang w:eastAsia="en-US"/>
        </w:rPr>
        <w:t>7.1. Каждая из сторон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договора.</w:t>
      </w:r>
      <w:bookmarkEnd w:id="1"/>
    </w:p>
    <w:p>
      <w:pPr>
        <w:pStyle w:val="Normal"/>
        <w:spacing w:lineRule="atLeast" w:line="20"/>
        <w:ind w:firstLine="567"/>
        <w:jc w:val="both"/>
        <w:rPr/>
      </w:pPr>
      <w:r>
        <w:rPr>
          <w:rFonts w:eastAsia="Calibri"/>
          <w:lang w:eastAsia="en-US"/>
        </w:rPr>
        <w:t>7.2. Стороны обязуются в течение всего срока действия договора и после его истечения принять все разумные меры для недопущения действий, указанных в п. 9.1, в том числе со стороны руководства или работников сторон, третьих лиц.</w:t>
      </w:r>
    </w:p>
    <w:p>
      <w:pPr>
        <w:pStyle w:val="Normal"/>
        <w:spacing w:lineRule="atLeast" w:line="20"/>
        <w:ind w:firstLine="567"/>
        <w:jc w:val="both"/>
        <w:rPr/>
      </w:pPr>
      <w:r>
        <w:rPr>
          <w:rFonts w:eastAsia="Calibri"/>
          <w:lang w:eastAsia="en-US"/>
        </w:rPr>
        <w:t>7.3. Стороны обязуются соблюдать, а также обеспечивать соблюдение их руководством, работниками и посредниками,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pPr>
        <w:pStyle w:val="Normal"/>
        <w:spacing w:lineRule="atLeast" w:line="20"/>
        <w:ind w:firstLine="567"/>
        <w:jc w:val="both"/>
        <w:rPr/>
      </w:pPr>
      <w:r>
        <w:rPr>
          <w:rFonts w:eastAsia="Calibri"/>
          <w:lang w:eastAsia="en-US"/>
        </w:rPr>
        <w:t>7.4. Сторонам договора, их руководителям и работникам запрещается:</w:t>
      </w:r>
    </w:p>
    <w:p>
      <w:pPr>
        <w:pStyle w:val="Normal"/>
        <w:spacing w:lineRule="atLeast" w:line="20"/>
        <w:ind w:firstLine="567"/>
        <w:jc w:val="both"/>
        <w:rPr/>
      </w:pPr>
      <w:r>
        <w:rPr>
          <w:rFonts w:eastAsia="Calibri"/>
          <w:lang w:eastAsia="en-US"/>
        </w:rPr>
        <w:t>7.4.1.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договора, их руководства, работников или посредников, действующих по договору.</w:t>
      </w:r>
    </w:p>
    <w:p>
      <w:pPr>
        <w:pStyle w:val="Normal"/>
        <w:spacing w:lineRule="atLeast" w:line="20"/>
        <w:ind w:firstLine="567"/>
        <w:jc w:val="both"/>
        <w:rPr/>
      </w:pPr>
      <w:r>
        <w:rPr>
          <w:rFonts w:eastAsia="Calibri"/>
          <w:lang w:eastAsia="en-US"/>
        </w:rPr>
        <w:t>7.4.2.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pPr>
        <w:pStyle w:val="Normal"/>
        <w:spacing w:lineRule="atLeast" w:line="20"/>
        <w:ind w:firstLine="567"/>
        <w:jc w:val="both"/>
        <w:rPr/>
      </w:pPr>
      <w:r>
        <w:rPr>
          <w:rFonts w:eastAsia="Calibri"/>
          <w:lang w:eastAsia="en-US"/>
        </w:rPr>
        <w:t>7.4.3. Совершать иные действия, нарушающие действующее антикоррупционное законодательство РФ.</w:t>
      </w:r>
    </w:p>
    <w:p>
      <w:pPr>
        <w:pStyle w:val="Normal"/>
        <w:spacing w:lineRule="atLeast" w:line="20"/>
        <w:ind w:firstLine="567"/>
        <w:jc w:val="both"/>
        <w:rPr/>
      </w:pPr>
      <w:r>
        <w:rPr>
          <w:rFonts w:eastAsia="Calibri"/>
          <w:lang w:eastAsia="en-US"/>
        </w:rPr>
        <w:t>7.5.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w:t>
      </w:r>
    </w:p>
    <w:p>
      <w:pPr>
        <w:pStyle w:val="Normal"/>
        <w:spacing w:lineRule="atLeast" w:line="20"/>
        <w:ind w:firstLine="567"/>
        <w:jc w:val="both"/>
        <w:rPr/>
      </w:pPr>
      <w:r>
        <w:rPr>
          <w:rFonts w:eastAsia="Calibri"/>
          <w:lang w:eastAsia="en-US"/>
        </w:rPr>
        <w:t>Подтверждение должно быть направлено в течение 3 (трех) рабочих дней с даты получения письменного уведомления.</w:t>
      </w:r>
    </w:p>
    <w:p>
      <w:pPr>
        <w:pStyle w:val="Normal"/>
        <w:spacing w:lineRule="atLeast" w:line="20"/>
        <w:ind w:firstLine="567"/>
        <w:jc w:val="both"/>
        <w:rPr/>
      </w:pPr>
      <w:r>
        <w:rPr>
          <w:rFonts w:eastAsia="Calibri"/>
          <w:lang w:eastAsia="en-US"/>
        </w:rPr>
        <w:t>7.6. В случае если нарушение одной из сторон настоящей оговорки подтвердится, другая сторона имеет право расторгнуть договор в одностороннем порядке, направив письменное уведомление о расторжении.</w:t>
      </w:r>
    </w:p>
    <w:p>
      <w:pPr>
        <w:pStyle w:val="Normal"/>
        <w:tabs>
          <w:tab w:val="clear" w:pos="708"/>
          <w:tab w:val="left" w:pos="-3840" w:leader="none"/>
        </w:tabs>
        <w:spacing w:lineRule="atLeast" w:line="20"/>
        <w:jc w:val="center"/>
        <w:rPr>
          <w:rFonts w:eastAsia="Calibri"/>
          <w:b/>
          <w:b/>
          <w:bCs/>
          <w:lang w:eastAsia="en-US"/>
        </w:rPr>
      </w:pPr>
      <w:r>
        <w:rPr>
          <w:rFonts w:eastAsia="Calibri"/>
          <w:b/>
          <w:bCs/>
          <w:lang w:eastAsia="en-US"/>
        </w:rPr>
      </w:r>
    </w:p>
    <w:p>
      <w:pPr>
        <w:pStyle w:val="Normal"/>
        <w:tabs>
          <w:tab w:val="clear" w:pos="708"/>
          <w:tab w:val="left" w:pos="-3840" w:leader="none"/>
        </w:tabs>
        <w:spacing w:lineRule="atLeast" w:line="20"/>
        <w:jc w:val="center"/>
        <w:rPr/>
      </w:pPr>
      <w:r>
        <w:rPr>
          <w:b/>
          <w:bCs/>
        </w:rPr>
        <w:t>8. ПОРЯДОК ИЗМЕНЕНИЯ И РАСТОРЖЕНИЯ ДОГОВОРА</w:t>
      </w:r>
    </w:p>
    <w:p>
      <w:pPr>
        <w:pStyle w:val="Normal"/>
        <w:widowControl w:val="false"/>
        <w:spacing w:lineRule="atLeast" w:line="20"/>
        <w:ind w:firstLine="709"/>
        <w:jc w:val="both"/>
        <w:rPr/>
      </w:pPr>
      <w:r>
        <w:rPr>
          <w:bCs/>
        </w:rPr>
        <w:t>8.1. Основания, пределы и порядок изменения настоящего договора предусмотрены в документации о проведении запроса котировок в электронной форме.</w:t>
      </w:r>
    </w:p>
    <w:p>
      <w:pPr>
        <w:pStyle w:val="Normal"/>
        <w:widowControl w:val="false"/>
        <w:spacing w:lineRule="atLeast" w:line="20"/>
        <w:ind w:firstLine="709"/>
        <w:jc w:val="both"/>
        <w:rPr/>
      </w:pPr>
      <w:r>
        <w:rPr>
          <w:rFonts w:eastAsia="Calibri"/>
          <w:lang w:eastAsia="en-US"/>
        </w:rPr>
        <w:t>8.2. Настоящий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pPr>
        <w:pStyle w:val="Normal"/>
        <w:widowControl w:val="false"/>
        <w:spacing w:lineRule="atLeast" w:line="20"/>
        <w:ind w:firstLine="709"/>
        <w:jc w:val="both"/>
        <w:rPr>
          <w:rFonts w:eastAsia="Calibri"/>
          <w:lang w:eastAsia="en-US"/>
        </w:rPr>
      </w:pPr>
      <w:r>
        <w:rPr>
          <w:rFonts w:eastAsia="Calibri"/>
          <w:lang w:eastAsia="en-US"/>
        </w:rPr>
        <w:t>8.3. При заключении договора по соглашению сторон возможно изменение следующих условий, предусмотренных проектом договора в извещении о закупке, документации о закупке:</w:t>
      </w:r>
    </w:p>
    <w:p>
      <w:pPr>
        <w:pStyle w:val="Normal"/>
        <w:widowControl w:val="false"/>
        <w:spacing w:lineRule="atLeast" w:line="20"/>
        <w:ind w:firstLine="709"/>
        <w:jc w:val="both"/>
        <w:rPr>
          <w:rFonts w:eastAsia="Calibri"/>
          <w:lang w:eastAsia="en-US"/>
        </w:rPr>
      </w:pPr>
      <w:r>
        <w:rPr>
          <w:rFonts w:eastAsia="Calibri"/>
          <w:lang w:eastAsia="en-US"/>
        </w:rPr>
        <w:t>изменение объема закупаемой продукции, оказываемых услуг, выполняемых работ;</w:t>
      </w:r>
    </w:p>
    <w:p>
      <w:pPr>
        <w:pStyle w:val="Normal"/>
        <w:widowControl w:val="false"/>
        <w:spacing w:lineRule="atLeast" w:line="20"/>
        <w:ind w:firstLine="709"/>
        <w:jc w:val="both"/>
        <w:rPr>
          <w:rFonts w:eastAsia="Calibri"/>
          <w:lang w:eastAsia="en-US"/>
        </w:rPr>
      </w:pPr>
      <w:r>
        <w:rPr>
          <w:rFonts w:eastAsia="Calibri"/>
          <w:lang w:eastAsia="en-US"/>
        </w:rPr>
        <w:t>изменение сроков исполнения обязательств по договору;</w:t>
      </w:r>
    </w:p>
    <w:p>
      <w:pPr>
        <w:pStyle w:val="Normal"/>
        <w:widowControl w:val="false"/>
        <w:spacing w:lineRule="atLeast" w:line="20"/>
        <w:ind w:firstLine="709"/>
        <w:jc w:val="both"/>
        <w:rPr>
          <w:rFonts w:eastAsia="Calibri"/>
          <w:lang w:eastAsia="en-US"/>
        </w:rPr>
      </w:pPr>
      <w:r>
        <w:rPr>
          <w:rFonts w:eastAsia="Calibri"/>
          <w:lang w:eastAsia="en-US"/>
        </w:rPr>
        <w:t>изменение цены договора и (или) цены единицы товара (работы, услуги), без изменения предусмотренного количества товара, объема работ (услуг) и иных условий договора;</w:t>
      </w:r>
    </w:p>
    <w:p>
      <w:pPr>
        <w:pStyle w:val="Normal"/>
        <w:widowControl w:val="false"/>
        <w:spacing w:lineRule="atLeast" w:line="20"/>
        <w:ind w:firstLine="709"/>
        <w:jc w:val="both"/>
        <w:rPr>
          <w:rFonts w:eastAsia="Calibri"/>
          <w:lang w:eastAsia="en-US"/>
        </w:rPr>
      </w:pPr>
      <w:r>
        <w:rPr>
          <w:rFonts w:eastAsia="Calibri"/>
          <w:lang w:eastAsia="en-US"/>
        </w:rPr>
        <w:t>изменения, ведущие к улучшению условий договора (в том числе условий (графика) поставки товара, выполнения работ, оказания услуг, условий оплаты, условий выполнения работ, оказания услуг) для заказчика по сравнению с условиями редакции проекта договора, и не ухудшающие экономическую эффективность закупки;</w:t>
      </w:r>
    </w:p>
    <w:p>
      <w:pPr>
        <w:pStyle w:val="Normal"/>
        <w:widowControl w:val="false"/>
        <w:spacing w:lineRule="atLeast" w:line="20"/>
        <w:ind w:firstLine="709"/>
        <w:jc w:val="both"/>
        <w:rPr>
          <w:rFonts w:eastAsia="Calibri"/>
          <w:lang w:eastAsia="en-US"/>
        </w:rPr>
      </w:pPr>
      <w:r>
        <w:rPr>
          <w:rFonts w:eastAsia="Calibri"/>
          <w:lang w:eastAsia="en-US"/>
        </w:rPr>
        <w:t>предложен товар с улучшенными техническими, качественными и функциональными характеристиками (потребительскими свойствами) по сравнению с предложенным в ходе проведения закупки, без изменения цены договора;</w:t>
      </w:r>
    </w:p>
    <w:p>
      <w:pPr>
        <w:pStyle w:val="Normal"/>
        <w:widowControl w:val="false"/>
        <w:spacing w:lineRule="atLeast" w:line="20"/>
        <w:ind w:firstLine="709"/>
        <w:jc w:val="both"/>
        <w:rPr>
          <w:rFonts w:eastAsia="Calibri"/>
          <w:lang w:eastAsia="en-US"/>
        </w:rPr>
      </w:pPr>
      <w:r>
        <w:rPr>
          <w:rFonts w:eastAsia="Calibri"/>
          <w:lang w:eastAsia="en-US"/>
        </w:rPr>
        <w:t>предложен товар с аналогичными техническими, качественными и функциональными характеристиками (потребительскими свойствами) по сравнению с предложенным в ходе проведения закупки, без изменения цены договора;</w:t>
      </w:r>
    </w:p>
    <w:p>
      <w:pPr>
        <w:pStyle w:val="Normal"/>
        <w:widowControl w:val="false"/>
        <w:spacing w:lineRule="atLeast" w:line="20"/>
        <w:ind w:firstLine="709"/>
        <w:jc w:val="both"/>
        <w:rPr>
          <w:rFonts w:eastAsia="Calibri"/>
          <w:lang w:eastAsia="en-US"/>
        </w:rPr>
      </w:pPr>
      <w:r>
        <w:rPr>
          <w:rFonts w:eastAsia="Calibri"/>
          <w:lang w:eastAsia="en-US"/>
        </w:rPr>
        <w:t>изменение иных условий договора.</w:t>
      </w:r>
    </w:p>
    <w:p>
      <w:pPr>
        <w:pStyle w:val="Normal"/>
        <w:widowControl w:val="false"/>
        <w:spacing w:lineRule="atLeast" w:line="20"/>
        <w:ind w:firstLine="709"/>
        <w:jc w:val="both"/>
        <w:rPr>
          <w:rFonts w:eastAsia="Calibri"/>
          <w:lang w:eastAsia="en-US"/>
        </w:rPr>
      </w:pPr>
      <w:r>
        <w:rPr>
          <w:rFonts w:eastAsia="Calibri"/>
          <w:lang w:eastAsia="en-US"/>
        </w:rPr>
        <w:t>В случае, когда при заключении договора изменяются количество, объем, цена закупаемых товаров, услуг, работ или сроки исполнения договора по сравнению с указанными в извещении об осуществлении закупки и (или) документации о закупке, информация об этом размещается в ЕИС в течение 10 (десяти) дней со дня внесения соответствующих изменений.</w:t>
      </w:r>
    </w:p>
    <w:p>
      <w:pPr>
        <w:pStyle w:val="Normal"/>
        <w:widowControl w:val="false"/>
        <w:spacing w:lineRule="atLeast" w:line="20"/>
        <w:ind w:firstLine="709"/>
        <w:jc w:val="both"/>
        <w:rPr>
          <w:rFonts w:eastAsia="Calibri"/>
          <w:lang w:eastAsia="en-US"/>
        </w:rPr>
      </w:pPr>
      <w:r>
        <w:rPr>
          <w:rFonts w:eastAsia="Calibri"/>
          <w:lang w:eastAsia="en-US"/>
        </w:rPr>
        <w:t>8.4. При исполнении договора по соглашению сторон допускается изменение следующих условий, предусмотренных договором:</w:t>
      </w:r>
    </w:p>
    <w:p>
      <w:pPr>
        <w:pStyle w:val="Normal"/>
        <w:widowControl w:val="false"/>
        <w:spacing w:lineRule="atLeast" w:line="20"/>
        <w:ind w:firstLine="709"/>
        <w:jc w:val="both"/>
        <w:rPr>
          <w:rFonts w:eastAsia="Calibri"/>
          <w:lang w:eastAsia="en-US"/>
        </w:rPr>
      </w:pPr>
      <w:r>
        <w:rPr>
          <w:rFonts w:eastAsia="Calibri"/>
          <w:lang w:eastAsia="en-US"/>
        </w:rPr>
        <w:t>изменение количества, объема закупаемой продукции, оказываемых услуг, выполняемых работ, в том числе:</w:t>
      </w:r>
    </w:p>
    <w:p>
      <w:pPr>
        <w:pStyle w:val="Normal"/>
        <w:widowControl w:val="false"/>
        <w:spacing w:lineRule="atLeast" w:line="20"/>
        <w:ind w:firstLine="709"/>
        <w:jc w:val="both"/>
        <w:rPr>
          <w:rFonts w:eastAsia="Calibri"/>
          <w:lang w:eastAsia="en-US"/>
        </w:rPr>
      </w:pPr>
      <w:r>
        <w:rPr>
          <w:rFonts w:eastAsia="Calibri"/>
          <w:lang w:eastAsia="en-US"/>
        </w:rPr>
        <w:t>а) при уменьшении потребности заказчика в товарах, услугах, работах на поставку, оказание, выполнение которых заключен договор с пропорциональным снижением цены договора;;</w:t>
      </w:r>
    </w:p>
    <w:p>
      <w:pPr>
        <w:pStyle w:val="Normal"/>
        <w:widowControl w:val="false"/>
        <w:spacing w:lineRule="atLeast" w:line="20"/>
        <w:ind w:firstLine="709"/>
        <w:jc w:val="both"/>
        <w:rPr>
          <w:rFonts w:eastAsia="Calibri"/>
          <w:lang w:eastAsia="en-US"/>
        </w:rPr>
      </w:pPr>
      <w:r>
        <w:rPr>
          <w:rFonts w:eastAsia="Calibri"/>
          <w:lang w:eastAsia="en-US"/>
        </w:rPr>
        <w:t>б) при увеличении потребности заказчика в товарах, услугах, работах на поставку, оказание, выполнение которых заключен договор, но не более 30%  предусмотренного таким договором количества товаров, объема услуг, работ и (или) при выявлении потребности в дополнительном количестве товаров, объеме услуг или работ, не предусмотренных договором, но связанных с товарами, услугами, работами предусмотренными договором, исходя из установленной в договоре цены единицы товара, услуги, работы, с пропорциональным увеличением цены договора;</w:t>
      </w:r>
    </w:p>
    <w:p>
      <w:pPr>
        <w:pStyle w:val="Normal"/>
        <w:widowControl w:val="false"/>
        <w:spacing w:lineRule="atLeast" w:line="20"/>
        <w:ind w:firstLine="709"/>
        <w:jc w:val="both"/>
        <w:rPr>
          <w:rFonts w:eastAsia="Calibri"/>
          <w:lang w:eastAsia="en-US"/>
        </w:rPr>
      </w:pPr>
      <w:r>
        <w:rPr>
          <w:rFonts w:eastAsia="Calibri"/>
          <w:lang w:eastAsia="en-US"/>
        </w:rPr>
        <w:t>изменение сроков исполнения обязательств по договору;</w:t>
      </w:r>
    </w:p>
    <w:p>
      <w:pPr>
        <w:pStyle w:val="Normal"/>
        <w:widowControl w:val="false"/>
        <w:spacing w:lineRule="atLeast" w:line="20"/>
        <w:ind w:firstLine="709"/>
        <w:jc w:val="both"/>
        <w:rPr>
          <w:rFonts w:eastAsia="Calibri"/>
          <w:lang w:eastAsia="en-US"/>
        </w:rPr>
      </w:pPr>
      <w:r>
        <w:rPr>
          <w:rFonts w:eastAsia="Calibri"/>
          <w:lang w:eastAsia="en-US"/>
        </w:rPr>
        <w:t>изменение цены договора и (или) цены единицы товара (работы, услуги), без изменения предусмотренного количества товара, объема работ (услуг) и иных условий договора;</w:t>
      </w:r>
    </w:p>
    <w:p>
      <w:pPr>
        <w:pStyle w:val="Normal"/>
        <w:widowControl w:val="false"/>
        <w:spacing w:lineRule="atLeast" w:line="20"/>
        <w:ind w:firstLine="709"/>
        <w:jc w:val="both"/>
        <w:rPr>
          <w:rFonts w:eastAsia="Calibri"/>
          <w:lang w:eastAsia="en-US"/>
        </w:rPr>
      </w:pPr>
      <w:r>
        <w:rPr>
          <w:rFonts w:eastAsia="Calibri"/>
          <w:lang w:eastAsia="en-US"/>
        </w:rPr>
        <w:t>изменения, ведущие к улучшению условий договора (в том числе условий (графика) поставки товара, выполнения работ, оказания услуг, условий оплаты, условий выполнения работ, оказания услуг) для заказчика по сравнению с условиями заключенного договора, и не ухудшающие экономическую эффективность закупки;</w:t>
      </w:r>
    </w:p>
    <w:p>
      <w:pPr>
        <w:pStyle w:val="Normal"/>
        <w:widowControl w:val="false"/>
        <w:spacing w:lineRule="atLeast" w:line="20"/>
        <w:ind w:firstLine="709"/>
        <w:jc w:val="both"/>
        <w:rPr>
          <w:rFonts w:eastAsia="Calibri"/>
          <w:lang w:eastAsia="en-US"/>
        </w:rPr>
      </w:pPr>
      <w:r>
        <w:rPr>
          <w:rFonts w:eastAsia="Calibri"/>
          <w:lang w:eastAsia="en-US"/>
        </w:rPr>
        <w:t>предложен товар с улучшенными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pPr>
        <w:pStyle w:val="Normal"/>
        <w:widowControl w:val="false"/>
        <w:spacing w:lineRule="atLeast" w:line="20"/>
        <w:ind w:firstLine="709"/>
        <w:jc w:val="both"/>
        <w:rPr>
          <w:rFonts w:eastAsia="Calibri"/>
          <w:lang w:eastAsia="en-US"/>
        </w:rPr>
      </w:pPr>
      <w:r>
        <w:rPr>
          <w:rFonts w:eastAsia="Calibri"/>
          <w:lang w:eastAsia="en-US"/>
        </w:rPr>
        <w:t>предложен товар с аналогичными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pPr>
        <w:pStyle w:val="Normal"/>
        <w:widowControl w:val="false"/>
        <w:spacing w:lineRule="atLeast" w:line="20"/>
        <w:ind w:firstLine="709"/>
        <w:jc w:val="both"/>
        <w:rPr>
          <w:rFonts w:eastAsia="Calibri"/>
          <w:lang w:eastAsia="en-US"/>
        </w:rPr>
      </w:pPr>
      <w:r>
        <w:rPr>
          <w:rFonts w:eastAsia="Calibri"/>
          <w:lang w:eastAsia="en-US"/>
        </w:rPr>
        <w:t>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pPr>
        <w:pStyle w:val="Normal"/>
        <w:widowControl w:val="false"/>
        <w:spacing w:lineRule="atLeast" w:line="20"/>
        <w:ind w:firstLine="709"/>
        <w:jc w:val="both"/>
        <w:rPr>
          <w:rFonts w:eastAsia="Calibri"/>
          <w:lang w:eastAsia="en-US"/>
        </w:rPr>
      </w:pPr>
      <w:r>
        <w:rPr>
          <w:rFonts w:eastAsia="Calibri"/>
          <w:lang w:eastAsia="en-US"/>
        </w:rPr>
        <w:t>при изменении в ходе исполнения договора регулируемых государством цен и (или) тарифов на товар, используемый в ходе исполнения договора;</w:t>
      </w:r>
    </w:p>
    <w:p>
      <w:pPr>
        <w:pStyle w:val="Normal"/>
        <w:widowControl w:val="false"/>
        <w:spacing w:lineRule="atLeast" w:line="20"/>
        <w:ind w:firstLine="709"/>
        <w:jc w:val="both"/>
        <w:rPr>
          <w:rFonts w:eastAsia="Calibri"/>
          <w:lang w:eastAsia="en-US"/>
        </w:rPr>
      </w:pPr>
      <w:r>
        <w:rPr>
          <w:rFonts w:eastAsia="Calibri"/>
          <w:lang w:eastAsia="en-US"/>
        </w:rPr>
        <w:t>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pPr>
        <w:pStyle w:val="Normal"/>
        <w:widowControl w:val="false"/>
        <w:spacing w:lineRule="atLeast" w:line="20"/>
        <w:ind w:firstLine="709"/>
        <w:jc w:val="both"/>
        <w:rPr>
          <w:rFonts w:eastAsia="Calibri"/>
          <w:lang w:eastAsia="en-US"/>
        </w:rPr>
      </w:pPr>
      <w:r>
        <w:rPr>
          <w:rFonts w:eastAsia="Calibri"/>
          <w:lang w:eastAsia="en-US"/>
        </w:rPr>
        <w:t>изменение иных условий договора.</w:t>
      </w:r>
    </w:p>
    <w:p>
      <w:pPr>
        <w:pStyle w:val="Normal"/>
        <w:widowControl w:val="false"/>
        <w:spacing w:lineRule="atLeast" w:line="20"/>
        <w:ind w:firstLine="709"/>
        <w:jc w:val="both"/>
        <w:rPr>
          <w:rFonts w:eastAsia="Calibri"/>
          <w:lang w:eastAsia="en-US"/>
        </w:rPr>
      </w:pPr>
      <w:r>
        <w:rPr>
          <w:rFonts w:eastAsia="Calibri"/>
          <w:lang w:eastAsia="en-US"/>
        </w:rPr>
        <w:t>Соответствующие изменения допускаются по соглашению сторон путем заключения дополнительного соглашения к договору в порядке и по основаниям, которые предусмотрены в договоре, а также законодательством Российской Федерации. Заказчик не позднее 10 (десяти) дней со дня внесения изменений в договор размещает в ЕИС информацию изменении договора с указанием измененных условий.</w:t>
      </w:r>
    </w:p>
    <w:p>
      <w:pPr>
        <w:pStyle w:val="Normal"/>
        <w:widowControl w:val="false"/>
        <w:spacing w:lineRule="atLeast" w:line="20"/>
        <w:ind w:firstLine="709"/>
        <w:jc w:val="both"/>
        <w:rPr>
          <w:rFonts w:eastAsia="Calibri"/>
          <w:lang w:eastAsia="en-US"/>
        </w:rPr>
      </w:pPr>
      <w:r>
        <w:rPr>
          <w:rFonts w:eastAsia="Calibri"/>
          <w:lang w:eastAsia="en-US"/>
        </w:rPr>
        <w:t>8.5.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отражены в дополнительном соглашении к договору и внесены заказчиком в реестр договоров, заключенных заказчиком.</w:t>
      </w:r>
    </w:p>
    <w:p>
      <w:pPr>
        <w:pStyle w:val="Normal"/>
        <w:widowControl w:val="false"/>
        <w:spacing w:lineRule="atLeast" w:line="20"/>
        <w:ind w:firstLine="709"/>
        <w:jc w:val="both"/>
        <w:rPr>
          <w:rFonts w:eastAsia="Calibri"/>
          <w:lang w:eastAsia="en-US"/>
        </w:rPr>
      </w:pPr>
      <w:r>
        <w:rPr>
          <w:rFonts w:eastAsia="Calibri"/>
          <w:lang w:eastAsia="en-US"/>
        </w:rPr>
        <w:t>8.6. При исполнении договора не допускается перемена поставщика (исполнителя, подрядчика), за исключением случая,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(исполнителя, подрядчика) его права и обязанности переходят к новому поставщику (исполнителю, подрядчику) в том же объеме и на тех же условиях.</w:t>
      </w:r>
    </w:p>
    <w:p>
      <w:pPr>
        <w:pStyle w:val="Normal"/>
        <w:widowControl w:val="false"/>
        <w:spacing w:lineRule="atLeast" w:line="20"/>
        <w:ind w:firstLine="709"/>
        <w:jc w:val="both"/>
        <w:rPr>
          <w:rFonts w:eastAsia="Calibri"/>
          <w:lang w:eastAsia="en-US"/>
        </w:rPr>
      </w:pPr>
      <w:r>
        <w:rPr>
          <w:rFonts w:eastAsia="Calibri"/>
          <w:lang w:eastAsia="en-US"/>
        </w:rPr>
        <w:t>8.7. 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(или) договором.</w:t>
      </w:r>
    </w:p>
    <w:p>
      <w:pPr>
        <w:pStyle w:val="Normal"/>
        <w:widowControl w:val="false"/>
        <w:spacing w:lineRule="atLeast" w:line="20"/>
        <w:ind w:firstLine="709"/>
        <w:jc w:val="both"/>
        <w:rPr>
          <w:rFonts w:eastAsia="Calibri"/>
          <w:lang w:eastAsia="en-US"/>
        </w:rPr>
      </w:pPr>
      <w:r>
        <w:rPr>
          <w:rFonts w:eastAsia="Calibri"/>
          <w:lang w:eastAsia="en-US"/>
        </w:rPr>
        <w:t>Условие о порядке и способах расторжения договора включается в проект договора, являющийся неотъемлемой частью извещения об осуществлении закупки и (или) документации о закупке, а также в условия договора, заключаемого по результатам как конкурентной, так и неконкурентной процедуры закупки.</w:t>
      </w:r>
    </w:p>
    <w:p>
      <w:pPr>
        <w:pStyle w:val="Normal"/>
        <w:widowControl w:val="false"/>
        <w:spacing w:lineRule="atLeast" w:line="20"/>
        <w:ind w:firstLine="709"/>
        <w:jc w:val="both"/>
        <w:rPr>
          <w:rFonts w:eastAsia="Calibri"/>
          <w:lang w:eastAsia="en-US"/>
        </w:rPr>
      </w:pPr>
      <w:r>
        <w:rPr>
          <w:rFonts w:eastAsia="Calibri"/>
          <w:lang w:eastAsia="en-US"/>
        </w:rPr>
        <w:t>8.8.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 (или) договором.</w:t>
      </w:r>
    </w:p>
    <w:p>
      <w:pPr>
        <w:pStyle w:val="Normal"/>
        <w:widowControl w:val="false"/>
        <w:spacing w:lineRule="atLeast" w:line="20"/>
        <w:ind w:firstLine="709"/>
        <w:jc w:val="both"/>
        <w:rPr>
          <w:rFonts w:eastAsia="Calibri"/>
          <w:lang w:eastAsia="en-US"/>
        </w:rPr>
      </w:pPr>
      <w:r>
        <w:rPr>
          <w:rFonts w:eastAsia="Calibri"/>
          <w:lang w:eastAsia="en-US"/>
        </w:rPr>
        <w:t>В том числе заказчик вправе отказаться от исполнения договора в одностороннем порядке в случае:</w:t>
      </w:r>
    </w:p>
    <w:p>
      <w:pPr>
        <w:pStyle w:val="Normal"/>
        <w:widowControl w:val="false"/>
        <w:spacing w:lineRule="atLeast" w:line="20"/>
        <w:ind w:firstLine="709"/>
        <w:jc w:val="both"/>
        <w:rPr>
          <w:rFonts w:eastAsia="Calibri"/>
          <w:lang w:eastAsia="en-US"/>
        </w:rPr>
      </w:pPr>
      <w:r>
        <w:rPr>
          <w:rFonts w:eastAsia="Calibri"/>
          <w:lang w:eastAsia="en-US"/>
        </w:rPr>
        <w:t>неисполнения (ненадлежащего исполнения) и (или) неоднократного нарушения поставщиком (исполнителем, подрядчиком) обязательств, предусмотренных договором (два и более раз);.</w:t>
      </w:r>
    </w:p>
    <w:p>
      <w:pPr>
        <w:pStyle w:val="Normal"/>
        <w:widowControl w:val="false"/>
        <w:spacing w:lineRule="atLeast" w:line="20"/>
        <w:ind w:firstLine="709"/>
        <w:jc w:val="both"/>
        <w:rPr>
          <w:rFonts w:eastAsia="Calibri"/>
          <w:lang w:eastAsia="en-US"/>
        </w:rPr>
      </w:pPr>
      <w:r>
        <w:rPr>
          <w:rFonts w:eastAsia="Calibri"/>
          <w:lang w:eastAsia="en-US"/>
        </w:rPr>
        <w:t>наступления предельной просрочки невыполнения поставщиком (исполнителем, подрядчиком) обязательств по договору. При этом предельная просрочка невыполнения поставщиком (исполнителем, подрядчиком) обязательств по договору составляет 10 (десять) календарных дней;</w:t>
      </w:r>
    </w:p>
    <w:p>
      <w:pPr>
        <w:pStyle w:val="Normal"/>
        <w:widowControl w:val="false"/>
        <w:spacing w:lineRule="atLeast" w:line="20"/>
        <w:ind w:firstLine="709"/>
        <w:jc w:val="both"/>
        <w:rPr>
          <w:rFonts w:eastAsia="Calibri"/>
          <w:lang w:eastAsia="en-US"/>
        </w:rPr>
      </w:pPr>
      <w:r>
        <w:rPr>
          <w:rFonts w:eastAsia="Calibri"/>
          <w:lang w:eastAsia="en-US"/>
        </w:rPr>
        <w:t>- по другим основаниям, предусмотренным договором.</w:t>
      </w:r>
    </w:p>
    <w:p>
      <w:pPr>
        <w:pStyle w:val="Normal"/>
        <w:widowControl w:val="false"/>
        <w:spacing w:lineRule="atLeast" w:line="20"/>
        <w:ind w:firstLine="709"/>
        <w:jc w:val="both"/>
        <w:rPr>
          <w:rFonts w:eastAsia="Calibri"/>
          <w:lang w:eastAsia="en-US"/>
        </w:rPr>
      </w:pPr>
      <w:r>
        <w:rPr>
          <w:rFonts w:eastAsia="Calibri"/>
          <w:lang w:eastAsia="en-US"/>
        </w:rPr>
      </w:r>
    </w:p>
    <w:p>
      <w:pPr>
        <w:pStyle w:val="Normal"/>
        <w:widowControl w:val="false"/>
        <w:spacing w:lineRule="atLeast" w:line="20"/>
        <w:ind w:firstLine="709"/>
        <w:jc w:val="both"/>
        <w:rPr>
          <w:b/>
          <w:b/>
          <w:bCs/>
        </w:rPr>
      </w:pPr>
      <w:r>
        <w:rPr>
          <w:b/>
          <w:bCs/>
        </w:rPr>
      </w:r>
    </w:p>
    <w:p>
      <w:pPr>
        <w:pStyle w:val="Normal"/>
        <w:spacing w:lineRule="atLeast" w:line="20"/>
        <w:jc w:val="center"/>
        <w:rPr/>
      </w:pPr>
      <w:r>
        <w:rPr>
          <w:b/>
        </w:rPr>
        <w:t>9. ЗАКЛЮЧИТЕЛЬНЫЕ ПОЛОЖЕНИЯ</w:t>
      </w:r>
    </w:p>
    <w:p>
      <w:pPr>
        <w:pStyle w:val="Normal"/>
        <w:spacing w:lineRule="atLeast" w:line="20"/>
        <w:ind w:firstLine="567"/>
        <w:jc w:val="both"/>
        <w:rPr/>
      </w:pPr>
      <w:r>
        <w:rPr/>
        <w:t xml:space="preserve">9.1. Настоящий Договор вступает в силу с момента заключения и действует до </w:t>
      </w:r>
      <w:r>
        <w:rPr>
          <w:highlight w:val="yellow"/>
        </w:rPr>
        <w:t>31.</w:t>
      </w:r>
      <w:r>
        <w:rPr>
          <w:highlight w:val="yellow"/>
        </w:rPr>
        <w:t>12</w:t>
      </w:r>
      <w:r>
        <w:rPr>
          <w:highlight w:val="yellow"/>
        </w:rPr>
        <w:t>.202</w:t>
      </w:r>
      <w:r>
        <w:rPr/>
        <w:t>7 года, а в части взаиморасчётов – до полного исполнения.</w:t>
      </w:r>
    </w:p>
    <w:p>
      <w:pPr>
        <w:pStyle w:val="Normal"/>
        <w:spacing w:lineRule="atLeast" w:line="20"/>
        <w:ind w:firstLine="567"/>
        <w:jc w:val="both"/>
        <w:rPr/>
      </w:pPr>
      <w:r>
        <w:rPr/>
        <w:t xml:space="preserve">9.2.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w:t>
      </w:r>
      <w:hyperlink r:id="rId2">
        <w:r>
          <w:rPr>
            <w:b w:val="false"/>
            <w:color w:val="auto"/>
          </w:rPr>
          <w:t>законодательства</w:t>
        </w:r>
      </w:hyperlink>
      <w:r>
        <w:rPr/>
        <w:t xml:space="preserve"> Российской Федерации.</w:t>
      </w:r>
    </w:p>
    <w:p>
      <w:pPr>
        <w:pStyle w:val="Normal"/>
        <w:spacing w:lineRule="atLeast" w:line="20"/>
        <w:ind w:firstLine="567"/>
        <w:jc w:val="both"/>
        <w:rPr/>
      </w:pPr>
      <w:r>
        <w:rPr/>
        <w:t>9.3. В случае изменения юридического адреса или обслуживающего банка Стороны настоящего договора обязаны в 5-дневный срок письменно уведомить об этом друг друга.</w:t>
      </w:r>
    </w:p>
    <w:p>
      <w:pPr>
        <w:pStyle w:val="Normal"/>
        <w:spacing w:lineRule="atLeast" w:line="20"/>
        <w:ind w:firstLine="567"/>
        <w:jc w:val="both"/>
        <w:rPr/>
      </w:pPr>
      <w:r>
        <w:rPr/>
        <w:t xml:space="preserve">9.4. </w:t>
      </w:r>
      <w:bookmarkStart w:id="2" w:name="_Hlk203471303"/>
      <w:r>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bookmarkEnd w:id="2"/>
    </w:p>
    <w:p>
      <w:pPr>
        <w:pStyle w:val="Normal"/>
        <w:spacing w:lineRule="atLeast" w:line="20"/>
        <w:ind w:firstLine="567"/>
        <w:jc w:val="both"/>
        <w:rPr/>
      </w:pPr>
      <w:r>
        <w:rPr/>
      </w:r>
    </w:p>
    <w:p>
      <w:pPr>
        <w:pStyle w:val="Normal"/>
        <w:spacing w:lineRule="atLeast" w:line="20"/>
        <w:rPr/>
      </w:pPr>
      <w:r>
        <w:rPr>
          <w:b/>
        </w:rPr>
        <w:t>Приложения:</w:t>
      </w:r>
    </w:p>
    <w:p>
      <w:pPr>
        <w:pStyle w:val="ListParagraph"/>
        <w:numPr>
          <w:ilvl w:val="0"/>
          <w:numId w:val="4"/>
        </w:numPr>
        <w:suppressAutoHyphens w:val="false"/>
        <w:spacing w:lineRule="atLeast" w:line="20"/>
        <w:ind w:left="0" w:firstLine="709"/>
        <w:jc w:val="both"/>
        <w:rPr>
          <w:sz w:val="20"/>
          <w:szCs w:val="20"/>
        </w:rPr>
      </w:pPr>
      <w:r>
        <w:rPr>
          <w:b/>
        </w:rPr>
        <w:t xml:space="preserve"> </w:t>
      </w:r>
      <w:r>
        <w:rPr>
          <w:sz w:val="20"/>
          <w:szCs w:val="20"/>
        </w:rPr>
        <w:t>Спецификация;</w:t>
      </w:r>
    </w:p>
    <w:p>
      <w:pPr>
        <w:pStyle w:val="ListParagraph"/>
        <w:numPr>
          <w:ilvl w:val="0"/>
          <w:numId w:val="4"/>
        </w:numPr>
        <w:suppressAutoHyphens w:val="false"/>
        <w:spacing w:lineRule="atLeast" w:line="20"/>
        <w:ind w:left="0" w:firstLine="709"/>
        <w:jc w:val="both"/>
        <w:rPr>
          <w:sz w:val="20"/>
          <w:szCs w:val="20"/>
        </w:rPr>
      </w:pPr>
      <w:r>
        <w:rPr>
          <w:sz w:val="20"/>
          <w:szCs w:val="20"/>
        </w:rPr>
        <w:t>Список точек обслуживания Заказчика;</w:t>
      </w:r>
    </w:p>
    <w:p>
      <w:pPr>
        <w:pStyle w:val="ListParagraph"/>
        <w:numPr>
          <w:ilvl w:val="0"/>
          <w:numId w:val="4"/>
        </w:numPr>
        <w:suppressAutoHyphens w:val="false"/>
        <w:spacing w:lineRule="atLeast" w:line="20"/>
        <w:ind w:left="0" w:firstLine="709"/>
        <w:jc w:val="both"/>
        <w:rPr>
          <w:sz w:val="20"/>
          <w:szCs w:val="20"/>
        </w:rPr>
      </w:pPr>
      <w:r>
        <w:rPr>
          <w:sz w:val="20"/>
          <w:szCs w:val="20"/>
        </w:rPr>
        <w:t>Заявка на выдачу пластиковых карт.</w:t>
      </w:r>
    </w:p>
    <w:p>
      <w:pPr>
        <w:pStyle w:val="Normal"/>
        <w:spacing w:lineRule="atLeast" w:line="20"/>
        <w:rPr/>
      </w:pPr>
      <w:r>
        <w:rPr/>
      </w:r>
    </w:p>
    <w:p>
      <w:pPr>
        <w:pStyle w:val="Normal"/>
        <w:spacing w:lineRule="atLeast" w:line="20"/>
        <w:ind w:firstLine="567"/>
        <w:jc w:val="both"/>
        <w:rPr>
          <w:b/>
          <w:b/>
        </w:rPr>
      </w:pPr>
      <w:r>
        <w:rPr>
          <w:b/>
        </w:rPr>
      </w:r>
    </w:p>
    <w:p>
      <w:pPr>
        <w:pStyle w:val="Normal"/>
        <w:spacing w:lineRule="atLeast" w:line="20"/>
        <w:jc w:val="center"/>
        <w:rPr/>
      </w:pPr>
      <w:r>
        <w:rPr>
          <w:b/>
        </w:rPr>
        <w:t>10. ЮРИДИЧЕСКИЕ АДРЕСА, РЕКВИЗИТЫ и ПОДПИСИ СТОРОН</w:t>
      </w:r>
    </w:p>
    <w:p>
      <w:pPr>
        <w:pStyle w:val="Normal"/>
        <w:spacing w:lineRule="atLeast" w:line="20"/>
        <w:jc w:val="center"/>
        <w:rPr>
          <w:b/>
          <w:b/>
        </w:rPr>
      </w:pPr>
      <w:r>
        <w:rPr>
          <w:b/>
        </w:rPr>
      </w:r>
    </w:p>
    <w:tbl>
      <w:tblPr>
        <w:tblW w:w="10137"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4950"/>
        <w:gridCol w:w="5186"/>
      </w:tblGrid>
      <w:tr>
        <w:trPr/>
        <w:tc>
          <w:tcPr>
            <w:tcW w:w="4950" w:type="dxa"/>
            <w:tcBorders/>
          </w:tcPr>
          <w:p>
            <w:pPr>
              <w:pStyle w:val="Normal"/>
              <w:widowControl w:val="false"/>
              <w:spacing w:lineRule="atLeast" w:line="20"/>
              <w:jc w:val="center"/>
              <w:rPr>
                <w:b/>
                <w:b/>
                <w:bCs/>
              </w:rPr>
            </w:pPr>
            <w:r>
              <w:rPr>
                <w:b/>
              </w:rPr>
              <w:t>Покупатель:</w:t>
            </w:r>
          </w:p>
          <w:p>
            <w:pPr>
              <w:pStyle w:val="Normal"/>
              <w:widowControl w:val="false"/>
              <w:spacing w:lineRule="atLeast" w:line="20"/>
              <w:jc w:val="both"/>
              <w:rPr/>
            </w:pPr>
            <w:r>
              <w:rPr/>
            </w:r>
          </w:p>
        </w:tc>
        <w:tc>
          <w:tcPr>
            <w:tcW w:w="5186" w:type="dxa"/>
            <w:tcBorders/>
          </w:tcPr>
          <w:p>
            <w:pPr>
              <w:pStyle w:val="Normal"/>
              <w:widowControl w:val="false"/>
              <w:spacing w:lineRule="atLeast" w:line="20"/>
              <w:jc w:val="center"/>
              <w:rPr/>
            </w:pPr>
            <w:r>
              <w:rPr>
                <w:b/>
              </w:rPr>
              <w:t>Поставщик:</w:t>
            </w:r>
          </w:p>
          <w:p>
            <w:pPr>
              <w:pStyle w:val="Normal"/>
              <w:widowControl w:val="false"/>
              <w:spacing w:lineRule="atLeast" w:line="20"/>
              <w:jc w:val="both"/>
              <w:rPr/>
            </w:pPr>
            <w:r>
              <w:rPr>
                <w:bCs/>
              </w:rPr>
              <w:t>.</w:t>
            </w:r>
          </w:p>
        </w:tc>
      </w:tr>
    </w:tbl>
    <w:p>
      <w:pPr>
        <w:pStyle w:val="Normal"/>
        <w:spacing w:lineRule="atLeast" w:line="20"/>
        <w:jc w:val="right"/>
        <w:rPr/>
      </w:pPr>
      <w:r>
        <w:rPr/>
      </w:r>
    </w:p>
    <w:p>
      <w:pPr>
        <w:pStyle w:val="Normal"/>
        <w:spacing w:lineRule="atLeast" w:line="20"/>
        <w:jc w:val="right"/>
        <w:rPr/>
      </w:pPr>
      <w:r>
        <w:rPr/>
      </w:r>
    </w:p>
    <w:p>
      <w:pPr>
        <w:pStyle w:val="Normal"/>
        <w:spacing w:lineRule="atLeast" w:line="20"/>
        <w:jc w:val="right"/>
        <w:rPr/>
      </w:pPr>
      <w:r>
        <w:rPr/>
        <w:t>Приложение №1</w:t>
      </w:r>
    </w:p>
    <w:p>
      <w:pPr>
        <w:pStyle w:val="Normal"/>
        <w:spacing w:lineRule="atLeast" w:line="20"/>
        <w:jc w:val="right"/>
        <w:rPr/>
      </w:pPr>
      <w:r>
        <w:rPr/>
        <w:t>к Договору №______</w:t>
      </w:r>
    </w:p>
    <w:p>
      <w:pPr>
        <w:pStyle w:val="Normal"/>
        <w:spacing w:lineRule="atLeast" w:line="20"/>
        <w:jc w:val="right"/>
        <w:rPr/>
      </w:pPr>
      <w:r>
        <w:rPr/>
        <w:t>От «___»_______20__г.</w:t>
      </w:r>
    </w:p>
    <w:p>
      <w:pPr>
        <w:pStyle w:val="Normal"/>
        <w:spacing w:lineRule="atLeast" w:line="20"/>
        <w:jc w:val="right"/>
        <w:rPr/>
      </w:pPr>
      <w:r>
        <w:rPr/>
      </w:r>
    </w:p>
    <w:p>
      <w:pPr>
        <w:pStyle w:val="Normal"/>
        <w:spacing w:lineRule="atLeast" w:line="20"/>
        <w:jc w:val="center"/>
        <w:rPr>
          <w:b/>
          <w:b/>
        </w:rPr>
      </w:pPr>
      <w:r>
        <w:rPr>
          <w:b/>
        </w:rPr>
        <w:t>СПЕЦИФИКАЦИЯ</w:t>
      </w:r>
    </w:p>
    <w:p>
      <w:pPr>
        <w:pStyle w:val="Normal"/>
        <w:spacing w:lineRule="atLeast" w:line="20"/>
        <w:jc w:val="center"/>
        <w:rPr/>
      </w:pPr>
      <w:r>
        <w:rPr/>
      </w:r>
    </w:p>
    <w:tbl>
      <w:tblPr>
        <w:tblW w:w="963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93"/>
        <w:gridCol w:w="1345"/>
        <w:gridCol w:w="2278"/>
        <w:gridCol w:w="699"/>
        <w:gridCol w:w="2005"/>
        <w:gridCol w:w="1667"/>
        <w:gridCol w:w="1146"/>
      </w:tblGrid>
      <w:tr>
        <w:trPr/>
        <w:tc>
          <w:tcPr>
            <w:tcW w:w="4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t xml:space="preserve">№ </w:t>
            </w:r>
            <w:r>
              <w:rPr/>
              <w:t>п/п</w:t>
            </w:r>
          </w:p>
        </w:tc>
        <w:tc>
          <w:tcPr>
            <w:tcW w:w="13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t>Наименование нефтепродуктов</w:t>
            </w:r>
          </w:p>
        </w:tc>
        <w:tc>
          <w:tcPr>
            <w:tcW w:w="22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t>Технические, качественные, функциональные и иные характеристики нефтепродуктов</w:t>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t>Ед.изм.</w:t>
            </w:r>
          </w:p>
        </w:tc>
        <w:tc>
          <w:tcPr>
            <w:tcW w:w="20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t>Общее кол-во нефтепродуктов</w:t>
            </w:r>
          </w:p>
        </w:tc>
        <w:tc>
          <w:tcPr>
            <w:tcW w:w="1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t>Цена за единицу нефтепродукта</w:t>
            </w:r>
          </w:p>
        </w:tc>
        <w:tc>
          <w:tcPr>
            <w:tcW w:w="114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t>Сумма (руб)</w:t>
            </w:r>
          </w:p>
        </w:tc>
      </w:tr>
      <w:tr>
        <w:trPr/>
        <w:tc>
          <w:tcPr>
            <w:tcW w:w="4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13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22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20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1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114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r>
      <w:tr>
        <w:trPr/>
        <w:tc>
          <w:tcPr>
            <w:tcW w:w="4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13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22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20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1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114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r>
      <w:tr>
        <w:trPr/>
        <w:tc>
          <w:tcPr>
            <w:tcW w:w="4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13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22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6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20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1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114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r>
    </w:tbl>
    <w:p>
      <w:pPr>
        <w:pStyle w:val="Normal"/>
        <w:spacing w:lineRule="atLeast" w:line="20"/>
        <w:jc w:val="center"/>
        <w:rPr/>
      </w:pPr>
      <w:r>
        <w:rPr/>
      </w:r>
    </w:p>
    <w:p>
      <w:pPr>
        <w:pStyle w:val="Normal"/>
        <w:spacing w:lineRule="atLeast" w:line="20"/>
        <w:jc w:val="center"/>
        <w:rPr/>
      </w:pPr>
      <w:r>
        <w:rPr/>
      </w:r>
    </w:p>
    <w:p>
      <w:pPr>
        <w:pStyle w:val="Normal"/>
        <w:spacing w:lineRule="atLeast" w:line="20"/>
        <w:jc w:val="center"/>
        <w:rPr/>
      </w:pPr>
      <w:r>
        <w:rPr/>
      </w:r>
    </w:p>
    <w:p>
      <w:pPr>
        <w:pStyle w:val="Normal"/>
        <w:spacing w:lineRule="atLeast" w:line="20"/>
        <w:jc w:val="center"/>
        <w:rPr/>
      </w:pPr>
      <w:r>
        <w:rPr/>
      </w:r>
    </w:p>
    <w:p>
      <w:pPr>
        <w:pStyle w:val="Normal"/>
        <w:spacing w:lineRule="atLeast" w:line="20"/>
        <w:jc w:val="center"/>
        <w:rPr/>
      </w:pPr>
      <w:r>
        <w:rPr/>
        <w:t>Подписи Сторон:</w:t>
      </w:r>
    </w:p>
    <w:p>
      <w:pPr>
        <w:pStyle w:val="Normal"/>
        <w:spacing w:lineRule="atLeast" w:line="20"/>
        <w:jc w:val="center"/>
        <w:rPr>
          <w:b/>
          <w:b/>
        </w:rPr>
      </w:pPr>
      <w:r>
        <w:rPr>
          <w:b/>
        </w:rPr>
        <w:t>Заказчик                                                                                              Поставщик</w:t>
      </w:r>
    </w:p>
    <w:p>
      <w:pPr>
        <w:pStyle w:val="Normal"/>
        <w:spacing w:lineRule="atLeast" w:line="20"/>
        <w:jc w:val="center"/>
        <w:rPr/>
      </w:pPr>
      <w:r>
        <w:rPr/>
      </w:r>
    </w:p>
    <w:p>
      <w:pPr>
        <w:pStyle w:val="Normal"/>
        <w:spacing w:lineRule="atLeast" w:line="20"/>
        <w:jc w:val="center"/>
        <w:rPr/>
      </w:pPr>
      <w:r>
        <w:rPr/>
      </w:r>
    </w:p>
    <w:p>
      <w:pPr>
        <w:pStyle w:val="Normal"/>
        <w:spacing w:lineRule="atLeast" w:line="20"/>
        <w:jc w:val="center"/>
        <w:rPr/>
      </w:pPr>
      <w:r>
        <w:rPr/>
      </w:r>
    </w:p>
    <w:p>
      <w:pPr>
        <w:pStyle w:val="Normal"/>
        <w:spacing w:lineRule="atLeast" w:line="20"/>
        <w:jc w:val="center"/>
        <w:rPr/>
      </w:pPr>
      <w:r>
        <w:rPr/>
      </w:r>
      <w:r>
        <w:br w:type="page"/>
      </w:r>
    </w:p>
    <w:p>
      <w:pPr>
        <w:pStyle w:val="Normal"/>
        <w:spacing w:lineRule="atLeast" w:line="20"/>
        <w:jc w:val="right"/>
        <w:rPr/>
      </w:pPr>
      <w:r>
        <w:rPr/>
        <w:t xml:space="preserve">Приложение №2 </w:t>
      </w:r>
    </w:p>
    <w:p>
      <w:pPr>
        <w:pStyle w:val="Normal"/>
        <w:spacing w:lineRule="atLeast" w:line="20"/>
        <w:jc w:val="right"/>
        <w:rPr/>
      </w:pPr>
      <w:r>
        <w:rPr/>
        <w:t>к Договору №______</w:t>
      </w:r>
    </w:p>
    <w:p>
      <w:pPr>
        <w:pStyle w:val="Normal"/>
        <w:spacing w:lineRule="atLeast" w:line="20"/>
        <w:jc w:val="right"/>
        <w:rPr/>
      </w:pPr>
      <w:r>
        <w:rPr/>
        <w:t>От «___»_______20__г.</w:t>
      </w:r>
    </w:p>
    <w:p>
      <w:pPr>
        <w:pStyle w:val="Normal"/>
        <w:spacing w:lineRule="atLeast" w:line="20"/>
        <w:jc w:val="right"/>
        <w:rPr/>
      </w:pPr>
      <w:r>
        <w:rPr/>
      </w:r>
    </w:p>
    <w:p>
      <w:pPr>
        <w:pStyle w:val="Normal"/>
        <w:spacing w:lineRule="atLeast" w:line="20"/>
        <w:jc w:val="right"/>
        <w:rPr/>
      </w:pPr>
      <w:r>
        <w:rPr/>
      </w:r>
    </w:p>
    <w:p>
      <w:pPr>
        <w:pStyle w:val="Normal"/>
        <w:spacing w:lineRule="atLeast" w:line="20"/>
        <w:jc w:val="center"/>
        <w:rPr>
          <w:b/>
          <w:b/>
        </w:rPr>
      </w:pPr>
      <w:r>
        <w:rPr>
          <w:b/>
        </w:rPr>
        <w:t>Список точек обслуживания Заказчика (Список АЗС)</w:t>
      </w:r>
    </w:p>
    <w:p>
      <w:pPr>
        <w:pStyle w:val="Normal"/>
        <w:spacing w:lineRule="atLeast" w:line="20"/>
        <w:jc w:val="center"/>
        <w:rPr/>
      </w:pPr>
      <w:r>
        <w:rPr/>
      </w:r>
    </w:p>
    <w:tbl>
      <w:tblPr>
        <w:tblW w:w="963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845"/>
        <w:gridCol w:w="5245"/>
        <w:gridCol w:w="3544"/>
      </w:tblGrid>
      <w:tr>
        <w:trPr/>
        <w:tc>
          <w:tcPr>
            <w:tcW w:w="8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t xml:space="preserve">№ </w:t>
            </w:r>
            <w:r>
              <w:rPr/>
              <w:t>п/п</w:t>
            </w:r>
          </w:p>
        </w:tc>
        <w:tc>
          <w:tcPr>
            <w:tcW w:w="52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t>Адрес, месторасположение АЗС</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t>Режим работы</w:t>
            </w:r>
          </w:p>
        </w:tc>
      </w:tr>
      <w:tr>
        <w:trPr/>
        <w:tc>
          <w:tcPr>
            <w:tcW w:w="8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52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r>
      <w:tr>
        <w:trPr/>
        <w:tc>
          <w:tcPr>
            <w:tcW w:w="8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52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r>
          </w:p>
        </w:tc>
      </w:tr>
    </w:tbl>
    <w:p>
      <w:pPr>
        <w:pStyle w:val="Normal"/>
        <w:spacing w:lineRule="atLeast" w:line="20"/>
        <w:jc w:val="center"/>
        <w:rPr/>
      </w:pPr>
      <w:r>
        <w:rPr/>
      </w:r>
    </w:p>
    <w:p>
      <w:pPr>
        <w:pStyle w:val="Normal"/>
        <w:spacing w:lineRule="atLeast" w:line="20"/>
        <w:jc w:val="center"/>
        <w:rPr/>
      </w:pPr>
      <w:r>
        <w:rPr/>
      </w:r>
    </w:p>
    <w:p>
      <w:pPr>
        <w:pStyle w:val="Normal"/>
        <w:spacing w:lineRule="atLeast" w:line="20"/>
        <w:jc w:val="center"/>
        <w:rPr/>
      </w:pPr>
      <w:r>
        <w:rPr/>
        <w:t>Подписи Сторон:</w:t>
      </w:r>
    </w:p>
    <w:p>
      <w:pPr>
        <w:pStyle w:val="Normal"/>
        <w:spacing w:lineRule="atLeast" w:line="20"/>
        <w:jc w:val="center"/>
        <w:rPr>
          <w:b/>
          <w:b/>
        </w:rPr>
      </w:pPr>
      <w:r>
        <w:rPr>
          <w:b/>
        </w:rPr>
        <w:t>Заказчик                                                                                              Поставщик</w:t>
      </w:r>
      <w:r>
        <w:br w:type="page"/>
      </w:r>
    </w:p>
    <w:p>
      <w:pPr>
        <w:pStyle w:val="Normal"/>
        <w:spacing w:lineRule="atLeast" w:line="20"/>
        <w:jc w:val="right"/>
        <w:rPr/>
      </w:pPr>
      <w:r>
        <w:rPr/>
        <w:t>Приложением №3</w:t>
      </w:r>
    </w:p>
    <w:p>
      <w:pPr>
        <w:pStyle w:val="Normal"/>
        <w:spacing w:lineRule="atLeast" w:line="20"/>
        <w:jc w:val="right"/>
        <w:rPr/>
      </w:pPr>
      <w:r>
        <w:rPr/>
        <w:t>к Договору №___</w:t>
      </w:r>
    </w:p>
    <w:p>
      <w:pPr>
        <w:pStyle w:val="Normal"/>
        <w:spacing w:lineRule="atLeast" w:line="20"/>
        <w:jc w:val="right"/>
        <w:rPr/>
      </w:pPr>
      <w:r>
        <w:rPr/>
        <w:t>От «___» _________20__г.</w:t>
      </w:r>
    </w:p>
    <w:p>
      <w:pPr>
        <w:pStyle w:val="Normal"/>
        <w:spacing w:lineRule="atLeast" w:line="20"/>
        <w:jc w:val="right"/>
        <w:rPr/>
      </w:pPr>
      <w:r>
        <w:rPr/>
      </w:r>
    </w:p>
    <w:p>
      <w:pPr>
        <w:pStyle w:val="Normal"/>
        <w:spacing w:lineRule="atLeast" w:line="20"/>
        <w:jc w:val="right"/>
        <w:rPr/>
      </w:pPr>
      <w:r>
        <w:rPr/>
      </w:r>
    </w:p>
    <w:p>
      <w:pPr>
        <w:pStyle w:val="Normal"/>
        <w:spacing w:lineRule="atLeast" w:line="20"/>
        <w:jc w:val="right"/>
        <w:rPr>
          <w:b/>
          <w:b/>
        </w:rPr>
      </w:pPr>
      <w:r>
        <w:rPr>
          <w:b/>
        </w:rPr>
      </w:r>
    </w:p>
    <w:p>
      <w:pPr>
        <w:pStyle w:val="Normal"/>
        <w:spacing w:lineRule="atLeast" w:line="20"/>
        <w:jc w:val="center"/>
        <w:rPr>
          <w:b/>
          <w:b/>
        </w:rPr>
      </w:pPr>
      <w:r>
        <w:rPr>
          <w:b/>
        </w:rPr>
        <w:t>Заявка на выдачу пластиковых карт</w:t>
      </w:r>
    </w:p>
    <w:tbl>
      <w:tblPr>
        <w:tblW w:w="906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871"/>
        <w:gridCol w:w="5220"/>
        <w:gridCol w:w="2976"/>
      </w:tblGrid>
      <w:tr>
        <w:trPr>
          <w:trHeight w:val="1471" w:hRule="atLeast"/>
        </w:trPr>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t xml:space="preserve">№ </w:t>
            </w:r>
            <w:r>
              <w:rPr/>
              <w:t>карты п/п</w:t>
            </w:r>
          </w:p>
        </w:tc>
        <w:tc>
          <w:tcPr>
            <w:tcW w:w="52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t>Наименование горюче-смазочных материалов, отпускаемых по карте</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pPr>
            <w:r>
              <w:rPr/>
              <w:t>Количество, л.</w:t>
            </w:r>
          </w:p>
        </w:tc>
      </w:tr>
      <w:tr>
        <w:trPr/>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b/>
                <w:b/>
              </w:rPr>
            </w:pPr>
            <w:r>
              <w:rPr>
                <w:b/>
              </w:rPr>
            </w:r>
          </w:p>
        </w:tc>
        <w:tc>
          <w:tcPr>
            <w:tcW w:w="52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b/>
                <w:b/>
              </w:rPr>
            </w:pPr>
            <w:r>
              <w:rPr>
                <w:b/>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b/>
                <w:b/>
              </w:rPr>
            </w:pPr>
            <w:r>
              <w:rPr>
                <w:b/>
              </w:rPr>
            </w:r>
          </w:p>
        </w:tc>
      </w:tr>
      <w:tr>
        <w:trPr/>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b/>
                <w:b/>
              </w:rPr>
            </w:pPr>
            <w:r>
              <w:rPr>
                <w:b/>
              </w:rPr>
            </w:r>
          </w:p>
        </w:tc>
        <w:tc>
          <w:tcPr>
            <w:tcW w:w="52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b/>
                <w:b/>
              </w:rPr>
            </w:pPr>
            <w:r>
              <w:rPr>
                <w:b/>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20"/>
              <w:jc w:val="center"/>
              <w:rPr>
                <w:b/>
                <w:b/>
              </w:rPr>
            </w:pPr>
            <w:r>
              <w:rPr>
                <w:b/>
              </w:rPr>
            </w:r>
          </w:p>
        </w:tc>
      </w:tr>
    </w:tbl>
    <w:p>
      <w:pPr>
        <w:pStyle w:val="Normal"/>
        <w:spacing w:lineRule="atLeast" w:line="20"/>
        <w:jc w:val="center"/>
        <w:rPr>
          <w:b/>
          <w:b/>
        </w:rPr>
      </w:pPr>
      <w:r>
        <w:rPr>
          <w:b/>
        </w:rPr>
      </w:r>
    </w:p>
    <w:p>
      <w:pPr>
        <w:pStyle w:val="Normal"/>
        <w:jc w:val="center"/>
        <w:rPr>
          <w:b/>
          <w:b/>
        </w:rPr>
      </w:pPr>
      <w:r>
        <w:rPr>
          <w:b/>
        </w:rPr>
      </w:r>
    </w:p>
    <w:p>
      <w:pPr>
        <w:pStyle w:val="Normal"/>
        <w:jc w:val="center"/>
        <w:rPr/>
      </w:pPr>
      <w:r>
        <w:rPr/>
        <w:t>Подписи Сторон:</w:t>
      </w:r>
    </w:p>
    <w:p>
      <w:pPr>
        <w:pStyle w:val="Normal"/>
        <w:jc w:val="center"/>
        <w:rPr>
          <w:b/>
          <w:b/>
        </w:rPr>
      </w:pPr>
      <w:r>
        <w:rPr>
          <w:b/>
        </w:rPr>
        <w:t>Заказчик                                                                                              Поставщик</w:t>
      </w:r>
    </w:p>
    <w:p>
      <w:pPr>
        <w:pStyle w:val="Normal"/>
        <w:jc w:val="center"/>
        <w:rPr>
          <w:b/>
          <w:b/>
        </w:rPr>
      </w:pPr>
      <w:r>
        <w:rPr>
          <w:b/>
        </w:rPr>
      </w:r>
      <w:r>
        <w:br w:type="page"/>
      </w:r>
    </w:p>
    <w:p>
      <w:pPr>
        <w:pStyle w:val="Normal"/>
        <w:jc w:val="right"/>
        <w:rPr/>
      </w:pPr>
      <w:r>
        <w:rPr/>
      </w:r>
    </w:p>
    <w:sectPr>
      <w:headerReference w:type="default" r:id="rId3"/>
      <w:footerReference w:type="default" r:id="rId4"/>
      <w:type w:val="nextPage"/>
      <w:pgSz w:w="11906" w:h="16838"/>
      <w:pgMar w:left="1134" w:right="851" w:gutter="0" w:header="709" w:top="1223" w:footer="363"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Tahoma">
    <w:charset w:val="cc"/>
    <w:family w:val="roman"/>
    <w:pitch w:val="variable"/>
  </w:font>
  <w:font w:name="Liberation Sans">
    <w:altName w:val="Arial"/>
    <w:charset w:val="cc"/>
    <w:family w:val="roman"/>
    <w:pitch w:val="variable"/>
  </w:font>
  <w:font w:name="Courier New">
    <w:charset w:val="cc"/>
    <w:family w:val="roman"/>
    <w:pitch w:val="variable"/>
  </w:font>
  <w:font w:name="Calibri">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5"/>
      <w:jc w:val="right"/>
      <w:rPr/>
    </w:pPr>
    <w:r>
      <w:rPr/>
      <w:fldChar w:fldCharType="begin"/>
    </w:r>
    <w:r>
      <w:rPr/>
      <w:instrText xml:space="preserve"> PAGE </w:instrText>
    </w:r>
    <w:r>
      <w:rPr/>
      <w:fldChar w:fldCharType="separate"/>
    </w:r>
    <w:r>
      <w:rPr/>
      <w:t>10</w:t>
    </w:r>
    <w:r>
      <w:rPr/>
      <w:fldChar w:fldCharType="end"/>
    </w:r>
  </w:p>
  <w:p>
    <w:pPr>
      <w:pStyle w:val="Style25"/>
      <w:rPr/>
    </w:pPr>
    <w:r>
      <w:rPr/>
      <w:t>Покупатель __________________________                                          Поставщик ______________________</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080" w:hanging="720"/>
      </w:pPr>
      <w:rPr/>
    </w:lvl>
    <w:lvl w:ilvl="3">
      <w:start w:val="1"/>
      <w:numFmt w:val="decimal"/>
      <w:lvlText w:val="%1.%2.%3.%4."/>
      <w:lvlJc w:val="left"/>
      <w:pPr>
        <w:tabs>
          <w:tab w:val="num" w:pos="0"/>
        </w:tabs>
        <w:ind w:left="1080" w:hanging="72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440" w:hanging="1080"/>
      </w:pPr>
      <w:rPr/>
    </w:lvl>
    <w:lvl w:ilvl="6">
      <w:start w:val="1"/>
      <w:numFmt w:val="decimal"/>
      <w:lvlText w:val="%1.%2.%3.%4.%5.%6.%7."/>
      <w:lvlJc w:val="left"/>
      <w:pPr>
        <w:tabs>
          <w:tab w:val="num" w:pos="0"/>
        </w:tabs>
        <w:ind w:left="1800" w:hanging="1440"/>
      </w:pPr>
      <w:rPr/>
    </w:lvl>
    <w:lvl w:ilvl="7">
      <w:start w:val="1"/>
      <w:numFmt w:val="decimal"/>
      <w:lvlText w:val="%1.%2.%3.%4.%5.%6.%7.%8."/>
      <w:lvlJc w:val="left"/>
      <w:pPr>
        <w:tabs>
          <w:tab w:val="num" w:pos="0"/>
        </w:tabs>
        <w:ind w:left="1800" w:hanging="1440"/>
      </w:pPr>
      <w:rPr/>
    </w:lvl>
    <w:lvl w:ilvl="8">
      <w:start w:val="1"/>
      <w:numFmt w:val="decimal"/>
      <w:lvlText w:val="%1.%2.%3.%4.%5.%6.%7.%8.%9."/>
      <w:lvlJc w:val="left"/>
      <w:pPr>
        <w:tabs>
          <w:tab w:val="num" w:pos="0"/>
        </w:tabs>
        <w:ind w:left="2160" w:hanging="1800"/>
      </w:pPr>
      <w:rPr/>
    </w:lvl>
  </w:abstractNum>
  <w:abstractNum w:abstractNumId="3">
    <w:lvl w:ilvl="0">
      <w:start w:val="1"/>
      <w:numFmt w:val="decimal"/>
      <w:lvlText w:val="%1."/>
      <w:lvlJc w:val="left"/>
      <w:pPr>
        <w:tabs>
          <w:tab w:val="num" w:pos="0"/>
        </w:tabs>
        <w:ind w:left="2801" w:hanging="390"/>
      </w:pPr>
      <w:rPr/>
    </w:lvl>
    <w:lvl w:ilvl="1">
      <w:start w:val="5"/>
      <w:numFmt w:val="decimal"/>
      <w:lvlText w:val="%1.%2."/>
      <w:lvlJc w:val="left"/>
      <w:pPr>
        <w:tabs>
          <w:tab w:val="num" w:pos="0"/>
        </w:tabs>
        <w:ind w:left="1428" w:hanging="720"/>
      </w:pPr>
      <w:rPr/>
    </w:lvl>
    <w:lvl w:ilvl="2">
      <w:start w:val="1"/>
      <w:numFmt w:val="decimal"/>
      <w:lvlText w:val="%1.%2.%3."/>
      <w:lvlJc w:val="left"/>
      <w:pPr>
        <w:tabs>
          <w:tab w:val="num" w:pos="0"/>
        </w:tabs>
        <w:ind w:left="2136" w:hanging="720"/>
      </w:pPr>
      <w:rPr/>
    </w:lvl>
    <w:lvl w:ilvl="3">
      <w:start w:val="1"/>
      <w:numFmt w:val="decimal"/>
      <w:lvlText w:val="%1.%2.%3.%4."/>
      <w:lvlJc w:val="left"/>
      <w:pPr>
        <w:tabs>
          <w:tab w:val="num" w:pos="0"/>
        </w:tabs>
        <w:ind w:left="3204" w:hanging="1080"/>
      </w:pPr>
      <w:rPr/>
    </w:lvl>
    <w:lvl w:ilvl="4">
      <w:start w:val="1"/>
      <w:numFmt w:val="decimal"/>
      <w:lvlText w:val="%1.%2.%3.%4.%5."/>
      <w:lvlJc w:val="left"/>
      <w:pPr>
        <w:tabs>
          <w:tab w:val="num" w:pos="0"/>
        </w:tabs>
        <w:ind w:left="3912" w:hanging="1080"/>
      </w:pPr>
      <w:rPr/>
    </w:lvl>
    <w:lvl w:ilvl="5">
      <w:start w:val="1"/>
      <w:numFmt w:val="decimal"/>
      <w:lvlText w:val="%1.%2.%3.%4.%5.%6."/>
      <w:lvlJc w:val="left"/>
      <w:pPr>
        <w:tabs>
          <w:tab w:val="num" w:pos="0"/>
        </w:tabs>
        <w:ind w:left="4980" w:hanging="1440"/>
      </w:pPr>
      <w:rPr/>
    </w:lvl>
    <w:lvl w:ilvl="6">
      <w:start w:val="1"/>
      <w:numFmt w:val="decimal"/>
      <w:lvlText w:val="%1.%2.%3.%4.%5.%6.%7."/>
      <w:lvlJc w:val="left"/>
      <w:pPr>
        <w:tabs>
          <w:tab w:val="num" w:pos="0"/>
        </w:tabs>
        <w:ind w:left="5688" w:hanging="1440"/>
      </w:pPr>
      <w:rPr/>
    </w:lvl>
    <w:lvl w:ilvl="7">
      <w:start w:val="1"/>
      <w:numFmt w:val="decimal"/>
      <w:lvlText w:val="%1.%2.%3.%4.%5.%6.%7.%8."/>
      <w:lvlJc w:val="left"/>
      <w:pPr>
        <w:tabs>
          <w:tab w:val="num" w:pos="0"/>
        </w:tabs>
        <w:ind w:left="6756" w:hanging="1800"/>
      </w:pPr>
      <w:rPr/>
    </w:lvl>
    <w:lvl w:ilvl="8">
      <w:start w:val="1"/>
      <w:numFmt w:val="decimal"/>
      <w:lvlText w:val="%1.%2.%3.%4.%5.%6.%7.%8.%9."/>
      <w:lvlJc w:val="left"/>
      <w:pPr>
        <w:tabs>
          <w:tab w:val="num" w:pos="0"/>
        </w:tabs>
        <w:ind w:left="7824" w:hanging="2160"/>
      </w:pPr>
      <w:rPr/>
    </w:lvl>
  </w:abstractNum>
  <w:abstractNum w:abstractNumId="4">
    <w:lvl w:ilvl="0">
      <w:start w:val="1"/>
      <w:numFmt w:val="decimal"/>
      <w:lvlText w:val="%1."/>
      <w:lvlJc w:val="left"/>
      <w:pPr>
        <w:tabs>
          <w:tab w:val="num" w:pos="0"/>
        </w:tabs>
        <w:ind w:left="644" w:hanging="360"/>
      </w:pPr>
      <w:rPr/>
    </w:lvl>
    <w:lvl w:ilvl="1">
      <w:start w:val="1"/>
      <w:numFmt w:val="lowerLetter"/>
      <w:lvlText w:val="%2."/>
      <w:lvlJc w:val="left"/>
      <w:pPr>
        <w:tabs>
          <w:tab w:val="num" w:pos="0"/>
        </w:tabs>
        <w:ind w:left="1364" w:hanging="360"/>
      </w:pPr>
      <w:rPr/>
    </w:lvl>
    <w:lvl w:ilvl="2">
      <w:start w:val="1"/>
      <w:numFmt w:val="lowerRoman"/>
      <w:lvlText w:val="%3."/>
      <w:lvlJc w:val="right"/>
      <w:pPr>
        <w:tabs>
          <w:tab w:val="num" w:pos="0"/>
        </w:tabs>
        <w:ind w:left="2084" w:hanging="180"/>
      </w:pPr>
      <w:rPr/>
    </w:lvl>
    <w:lvl w:ilvl="3">
      <w:start w:val="1"/>
      <w:numFmt w:val="decimal"/>
      <w:lvlText w:val="%4."/>
      <w:lvlJc w:val="left"/>
      <w:pPr>
        <w:tabs>
          <w:tab w:val="num" w:pos="0"/>
        </w:tabs>
        <w:ind w:left="2804" w:hanging="360"/>
      </w:pPr>
      <w:rPr/>
    </w:lvl>
    <w:lvl w:ilvl="4">
      <w:start w:val="1"/>
      <w:numFmt w:val="lowerLetter"/>
      <w:lvlText w:val="%5."/>
      <w:lvlJc w:val="left"/>
      <w:pPr>
        <w:tabs>
          <w:tab w:val="num" w:pos="0"/>
        </w:tabs>
        <w:ind w:left="3524" w:hanging="360"/>
      </w:pPr>
      <w:rPr/>
    </w:lvl>
    <w:lvl w:ilvl="5">
      <w:start w:val="1"/>
      <w:numFmt w:val="lowerRoman"/>
      <w:lvlText w:val="%6."/>
      <w:lvlJc w:val="right"/>
      <w:pPr>
        <w:tabs>
          <w:tab w:val="num" w:pos="0"/>
        </w:tabs>
        <w:ind w:left="4244" w:hanging="180"/>
      </w:pPr>
      <w:rPr/>
    </w:lvl>
    <w:lvl w:ilvl="6">
      <w:start w:val="1"/>
      <w:numFmt w:val="decimal"/>
      <w:lvlText w:val="%7."/>
      <w:lvlJc w:val="left"/>
      <w:pPr>
        <w:tabs>
          <w:tab w:val="num" w:pos="0"/>
        </w:tabs>
        <w:ind w:left="4964" w:hanging="360"/>
      </w:pPr>
      <w:rPr/>
    </w:lvl>
    <w:lvl w:ilvl="7">
      <w:start w:val="1"/>
      <w:numFmt w:val="lowerLetter"/>
      <w:lvlText w:val="%8."/>
      <w:lvlJc w:val="left"/>
      <w:pPr>
        <w:tabs>
          <w:tab w:val="num" w:pos="0"/>
        </w:tabs>
        <w:ind w:left="5684" w:hanging="360"/>
      </w:pPr>
      <w:rPr/>
    </w:lvl>
    <w:lvl w:ilvl="8">
      <w:start w:val="1"/>
      <w:numFmt w:val="lowerRoman"/>
      <w:lvlText w:val="%9."/>
      <w:lvlJc w:val="right"/>
      <w:pPr>
        <w:tabs>
          <w:tab w:val="num" w:pos="0"/>
        </w:tabs>
        <w:ind w:left="6404" w:hanging="180"/>
      </w:pPr>
      <w:rPr/>
    </w:lvl>
  </w:abstractNum>
  <w:abstractNum w:abstractNumId="5">
    <w:lvl w:ilvl="0">
      <w:start w:val="2"/>
      <w:numFmt w:val="decimal"/>
      <w:lvlText w:val="%1."/>
      <w:lvlJc w:val="left"/>
      <w:pPr>
        <w:tabs>
          <w:tab w:val="num" w:pos="0"/>
        </w:tabs>
        <w:ind w:left="3226" w:hanging="390"/>
      </w:pPr>
      <w:rPr/>
    </w:lvl>
    <w:lvl w:ilvl="1">
      <w:start w:val="4"/>
      <w:numFmt w:val="decimal"/>
      <w:lvlText w:val="%1.%2."/>
      <w:lvlJc w:val="left"/>
      <w:pPr>
        <w:tabs>
          <w:tab w:val="num" w:pos="0"/>
        </w:tabs>
        <w:ind w:left="1080" w:hanging="72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embedSystemFonts/>
  <w:defaultTabStop w:val="708"/>
  <w:autoHyphenation w:val="true"/>
  <w:compat>
    <w:compatSetting w:name="compatibilityMode" w:uri="http://schemas.microsoft.com/office/word" w:val="1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eastAsia="zh-CN" w:val="ru-RU" w:bidi="ar-SA"/>
    </w:rPr>
  </w:style>
  <w:style w:type="paragraph" w:styleId="1">
    <w:name w:val="Heading 1"/>
    <w:basedOn w:val="Normal"/>
    <w:next w:val="Normal"/>
    <w:qFormat/>
    <w:pPr>
      <w:keepNext w:val="true"/>
      <w:numPr>
        <w:ilvl w:val="0"/>
        <w:numId w:val="1"/>
      </w:numPr>
      <w:outlineLvl w:val="0"/>
    </w:pPr>
    <w:rPr>
      <w:sz w:val="32"/>
      <w:szCs w:val="32"/>
    </w:rPr>
  </w:style>
  <w:style w:type="paragraph" w:styleId="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3">
    <w:name w:val="Heading 3"/>
    <w:basedOn w:val="Normal"/>
    <w:next w:val="Normal"/>
    <w:qFormat/>
    <w:pPr>
      <w:keepNext w:val="true"/>
      <w:numPr>
        <w:ilvl w:val="2"/>
        <w:numId w:val="1"/>
      </w:numPr>
      <w:spacing w:before="240" w:after="60"/>
      <w:outlineLvl w:val="2"/>
    </w:pPr>
    <w:rPr>
      <w:rFonts w:ascii="Cambria" w:hAnsi="Cambria" w:cs="Cambria"/>
      <w:b/>
      <w:bCs/>
      <w:sz w:val="26"/>
      <w:szCs w:val="26"/>
      <w:lang w:val="x-none"/>
    </w:rPr>
  </w:style>
  <w:style w:type="character" w:styleId="DefaultParagraphFont" w:default="1">
    <w:name w:val="Default Paragraph Font"/>
    <w:uiPriority w:val="1"/>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11" w:customStyle="1">
    <w:name w:val="Основной шрифт абзаца1"/>
    <w:qFormat/>
    <w:rPr/>
  </w:style>
  <w:style w:type="character" w:styleId="Style11">
    <w:name w:val="Интернет-ссылка"/>
    <w:rPr>
      <w:color w:val="0000FF"/>
      <w:u w:val="single"/>
    </w:rPr>
  </w:style>
  <w:style w:type="character" w:styleId="Style12" w:customStyle="1">
    <w:name w:val="Цветовое выделение"/>
    <w:qFormat/>
    <w:rPr>
      <w:b/>
      <w:bCs/>
      <w:color w:val="26282F"/>
    </w:rPr>
  </w:style>
  <w:style w:type="character" w:styleId="Style13" w:customStyle="1">
    <w:name w:val="Гипертекстовая ссылка"/>
    <w:qFormat/>
    <w:rPr>
      <w:b/>
      <w:bCs/>
      <w:color w:val="106BBE"/>
    </w:rPr>
  </w:style>
  <w:style w:type="character" w:styleId="HTMLCite">
    <w:name w:val="HTML Cite"/>
    <w:qFormat/>
    <w:rPr>
      <w:i/>
      <w:iCs/>
    </w:rPr>
  </w:style>
  <w:style w:type="character" w:styleId="Style14" w:customStyle="1">
    <w:name w:val="Верхний колонтитул Знак"/>
    <w:basedOn w:val="11"/>
    <w:qFormat/>
    <w:rPr/>
  </w:style>
  <w:style w:type="character" w:styleId="Style15" w:customStyle="1">
    <w:name w:val="Нижний колонтитул Знак"/>
    <w:basedOn w:val="11"/>
    <w:qFormat/>
    <w:rPr/>
  </w:style>
  <w:style w:type="character" w:styleId="Appleconvertedspace" w:customStyle="1">
    <w:name w:val="apple-converted-space"/>
    <w:basedOn w:val="11"/>
    <w:qFormat/>
    <w:rPr/>
  </w:style>
  <w:style w:type="character" w:styleId="FontStyle12" w:customStyle="1">
    <w:name w:val="Font Style12"/>
    <w:qFormat/>
    <w:rPr>
      <w:rFonts w:ascii="Times New Roman" w:hAnsi="Times New Roman" w:cs="Times New Roman"/>
      <w:sz w:val="22"/>
      <w:szCs w:val="22"/>
    </w:rPr>
  </w:style>
  <w:style w:type="character" w:styleId="Strong">
    <w:name w:val="Strong"/>
    <w:qFormat/>
    <w:rPr>
      <w:b/>
      <w:bCs/>
    </w:rPr>
  </w:style>
  <w:style w:type="character" w:styleId="Exact" w:customStyle="1">
    <w:name w:val="Основной текст Exact"/>
    <w:qFormat/>
    <w:rPr>
      <w:rFonts w:ascii="Times New Roman" w:hAnsi="Times New Roman" w:cs="Times New Roman"/>
      <w:strike w:val="false"/>
      <w:dstrike w:val="false"/>
      <w:sz w:val="18"/>
      <w:szCs w:val="18"/>
      <w:u w:val="none"/>
    </w:rPr>
  </w:style>
  <w:style w:type="character" w:styleId="21" w:customStyle="1">
    <w:name w:val="Основной текст (2)_"/>
    <w:qFormat/>
    <w:rPr>
      <w:b/>
      <w:bCs/>
      <w:shd w:fill="FFFFFF" w:val="clear"/>
    </w:rPr>
  </w:style>
  <w:style w:type="character" w:styleId="Style16" w:customStyle="1">
    <w:name w:val="Текст выноски Знак"/>
    <w:qFormat/>
    <w:rPr>
      <w:rFonts w:ascii="Tahoma" w:hAnsi="Tahoma" w:cs="Tahoma"/>
      <w:sz w:val="16"/>
      <w:szCs w:val="16"/>
    </w:rPr>
  </w:style>
  <w:style w:type="character" w:styleId="31" w:customStyle="1">
    <w:name w:val="Заголовок 3 Знак"/>
    <w:qFormat/>
    <w:rPr>
      <w:rFonts w:ascii="Cambria" w:hAnsi="Cambria" w:eastAsia="Times New Roman" w:cs="Times New Roman"/>
      <w:b/>
      <w:bCs/>
      <w:sz w:val="26"/>
      <w:szCs w:val="26"/>
    </w:rPr>
  </w:style>
  <w:style w:type="character" w:styleId="S10" w:customStyle="1">
    <w:name w:val="s_10"/>
    <w:qFormat/>
    <w:rPr/>
  </w:style>
  <w:style w:type="paragraph" w:styleId="Style17">
    <w:name w:val="Заголовок"/>
    <w:basedOn w:val="Normal"/>
    <w:next w:val="Style18"/>
    <w:qFormat/>
    <w:pPr>
      <w:keepNext w:val="true"/>
      <w:spacing w:before="240" w:after="120"/>
    </w:pPr>
    <w:rPr>
      <w:rFonts w:ascii="Liberation Sans" w:hAnsi="Liberation Sans" w:eastAsia="Microsoft YaHei" w:cs="Mangal"/>
      <w:sz w:val="28"/>
      <w:szCs w:val="28"/>
    </w:rPr>
  </w:style>
  <w:style w:type="paragraph" w:styleId="Style18">
    <w:name w:val="Body Text"/>
    <w:basedOn w:val="Normal"/>
    <w:pPr>
      <w:keepNext w:val="true"/>
    </w:pPr>
    <w:rPr>
      <w:b/>
      <w:bCs/>
      <w:sz w:val="32"/>
      <w:szCs w:val="32"/>
    </w:rPr>
  </w:style>
  <w:style w:type="paragraph" w:styleId="Style19">
    <w:name w:val="List"/>
    <w:basedOn w:val="Style18"/>
    <w:pPr/>
    <w:rPr>
      <w:rFonts w:cs="Mangal"/>
    </w:rPr>
  </w:style>
  <w:style w:type="paragraph" w:styleId="Style20">
    <w:name w:val="Caption"/>
    <w:basedOn w:val="Normal"/>
    <w:qFormat/>
    <w:pPr>
      <w:suppressLineNumbers/>
      <w:spacing w:before="120" w:after="120"/>
    </w:pPr>
    <w:rPr>
      <w:rFonts w:cs="Lucida Sans"/>
      <w:i/>
      <w:iCs/>
      <w:sz w:val="24"/>
      <w:szCs w:val="24"/>
    </w:rPr>
  </w:style>
  <w:style w:type="paragraph" w:styleId="Style21">
    <w:name w:val="Указатель"/>
    <w:basedOn w:val="Normal"/>
    <w:qFormat/>
    <w:pPr>
      <w:suppressLineNumbers/>
    </w:pPr>
    <w:rPr>
      <w:rFonts w:cs="Lucida Sans"/>
      <w:lang w:val="zxx" w:eastAsia="zxx" w:bidi="zxx"/>
    </w:rPr>
  </w:style>
  <w:style w:type="paragraph" w:styleId="Caption">
    <w:name w:val="caption"/>
    <w:basedOn w:val="Normal"/>
    <w:qFormat/>
    <w:pPr>
      <w:suppressLineNumbers/>
      <w:spacing w:before="120" w:after="120"/>
    </w:pPr>
    <w:rPr>
      <w:rFonts w:cs="Mangal"/>
      <w:i/>
      <w:iCs/>
      <w:sz w:val="24"/>
      <w:szCs w:val="24"/>
    </w:rPr>
  </w:style>
  <w:style w:type="paragraph" w:styleId="12" w:customStyle="1">
    <w:name w:val="Указатель1"/>
    <w:basedOn w:val="Normal"/>
    <w:qFormat/>
    <w:pPr>
      <w:suppressLineNumbers/>
    </w:pPr>
    <w:rPr>
      <w:rFonts w:cs="Mangal"/>
    </w:rPr>
  </w:style>
  <w:style w:type="paragraph" w:styleId="Style22">
    <w:name w:val="Body Text Indent"/>
    <w:basedOn w:val="Normal"/>
    <w:pPr>
      <w:jc w:val="both"/>
    </w:pPr>
    <w:rPr>
      <w:sz w:val="28"/>
      <w:szCs w:val="28"/>
    </w:rPr>
  </w:style>
  <w:style w:type="paragraph" w:styleId="Style131" w:customStyle="1">
    <w:name w:val="Style13"/>
    <w:basedOn w:val="Normal"/>
    <w:qFormat/>
    <w:pPr>
      <w:widowControl w:val="false"/>
      <w:spacing w:lineRule="exact" w:line="175"/>
      <w:jc w:val="both"/>
    </w:pPr>
    <w:rPr>
      <w:rFonts w:eastAsia="Calibri"/>
      <w:sz w:val="24"/>
      <w:szCs w:val="24"/>
    </w:rPr>
  </w:style>
  <w:style w:type="paragraph" w:styleId="BodyText2" w:customStyle="1">
    <w:name w:val="Body Text 2"/>
    <w:basedOn w:val="Normal"/>
    <w:qFormat/>
    <w:pPr>
      <w:ind w:firstLine="851"/>
      <w:jc w:val="both"/>
    </w:pPr>
    <w:rPr>
      <w:sz w:val="24"/>
    </w:rPr>
  </w:style>
  <w:style w:type="paragraph" w:styleId="ListParagraph">
    <w:name w:val="List Paragraph"/>
    <w:basedOn w:val="Normal"/>
    <w:uiPriority w:val="34"/>
    <w:qFormat/>
    <w:pPr>
      <w:spacing w:before="0" w:after="0"/>
      <w:ind w:left="720" w:hanging="0"/>
      <w:contextualSpacing/>
    </w:pPr>
    <w:rPr>
      <w:sz w:val="24"/>
      <w:szCs w:val="24"/>
    </w:rPr>
  </w:style>
  <w:style w:type="paragraph" w:styleId="Style23">
    <w:name w:val="Колонтитул"/>
    <w:basedOn w:val="Normal"/>
    <w:qFormat/>
    <w:pPr/>
    <w:rPr/>
  </w:style>
  <w:style w:type="paragraph" w:styleId="Style24">
    <w:name w:val="Header"/>
    <w:basedOn w:val="Normal"/>
    <w:pPr>
      <w:tabs>
        <w:tab w:val="clear" w:pos="708"/>
        <w:tab w:val="center" w:pos="4677" w:leader="none"/>
        <w:tab w:val="right" w:pos="9355" w:leader="none"/>
      </w:tabs>
    </w:pPr>
    <w:rPr/>
  </w:style>
  <w:style w:type="paragraph" w:styleId="Style25">
    <w:name w:val="Footer"/>
    <w:basedOn w:val="Normal"/>
    <w:pPr>
      <w:tabs>
        <w:tab w:val="clear" w:pos="708"/>
        <w:tab w:val="center" w:pos="4677" w:leader="none"/>
        <w:tab w:val="right" w:pos="9355" w:leader="none"/>
      </w:tabs>
    </w:pPr>
    <w:rPr/>
  </w:style>
  <w:style w:type="paragraph" w:styleId="ConsNonformat" w:customStyle="1">
    <w:name w:val="ConsNonformat"/>
    <w:qFormat/>
    <w:pPr>
      <w:widowControl/>
      <w:suppressAutoHyphens w:val="true"/>
      <w:bidi w:val="0"/>
      <w:spacing w:before="0" w:after="0"/>
      <w:ind w:right="19772" w:hanging="0"/>
      <w:jc w:val="left"/>
    </w:pPr>
    <w:rPr>
      <w:rFonts w:ascii="Courier New" w:hAnsi="Courier New" w:cs="Courier New" w:eastAsia="Times New Roman"/>
      <w:color w:val="auto"/>
      <w:kern w:val="0"/>
      <w:sz w:val="20"/>
      <w:szCs w:val="20"/>
      <w:lang w:eastAsia="zh-CN" w:val="ru-RU" w:bidi="ar-SA"/>
    </w:rPr>
  </w:style>
  <w:style w:type="paragraph" w:styleId="211" w:customStyle="1">
    <w:name w:val="Основной текст (2)1"/>
    <w:basedOn w:val="Normal"/>
    <w:qFormat/>
    <w:pPr>
      <w:widowControl w:val="false"/>
      <w:shd w:val="clear" w:color="auto" w:fill="FFFFFF"/>
      <w:spacing w:lineRule="atLeast" w:line="240" w:before="0" w:after="240"/>
      <w:jc w:val="both"/>
    </w:pPr>
    <w:rPr>
      <w:b/>
      <w:bCs/>
      <w:shd w:fill="FFFFFF" w:val="clear"/>
      <w:lang w:val="x-none"/>
    </w:rPr>
  </w:style>
  <w:style w:type="paragraph" w:styleId="BalloonText">
    <w:name w:val="Balloon Text"/>
    <w:basedOn w:val="Normal"/>
    <w:qFormat/>
    <w:pPr/>
    <w:rPr>
      <w:rFonts w:ascii="Tahoma" w:hAnsi="Tahoma" w:cs="Tahoma"/>
      <w:sz w:val="16"/>
      <w:szCs w:val="16"/>
      <w:lang w:val="x-none"/>
    </w:rPr>
  </w:style>
  <w:style w:type="paragraph" w:styleId="S1" w:customStyle="1">
    <w:name w:val="s_1"/>
    <w:basedOn w:val="Normal"/>
    <w:qFormat/>
    <w:pPr>
      <w:spacing w:before="280" w:after="280"/>
    </w:pPr>
    <w:rPr>
      <w:sz w:val="24"/>
      <w:szCs w:val="24"/>
    </w:rPr>
  </w:style>
  <w:style w:type="paragraph" w:styleId="Style26" w:customStyle="1">
    <w:name w:val="Содержимое таблицы"/>
    <w:basedOn w:val="Normal"/>
    <w:qFormat/>
    <w:pPr>
      <w:suppressLineNumbers/>
    </w:pPr>
    <w:rPr/>
  </w:style>
  <w:style w:type="paragraph" w:styleId="Style27" w:customStyle="1">
    <w:name w:val="Заголовок таблицы"/>
    <w:basedOn w:val="Style26"/>
    <w:qFormat/>
    <w:pPr>
      <w:jc w:val="center"/>
    </w:pPr>
    <w:rPr>
      <w:b/>
      <w:bCs/>
    </w:rPr>
  </w:style>
  <w:style w:type="paragraph" w:styleId="NoSpacing">
    <w:name w:val="No Spacing"/>
    <w:qFormat/>
    <w:rsid w:val="00d34ea2"/>
    <w:pPr>
      <w:widowControl/>
      <w:bidi w:val="0"/>
      <w:spacing w:before="0" w:after="0"/>
      <w:jc w:val="both"/>
    </w:pPr>
    <w:rPr>
      <w:rFonts w:ascii="Calibri" w:hAnsi="Calibri" w:eastAsia="Times New Roman" w:cs="Times New Roman"/>
      <w:color w:val="auto"/>
      <w:kern w:val="0"/>
      <w:sz w:val="22"/>
      <w:szCs w:val="22"/>
      <w:lang w:eastAsia="en-US" w:val="ru-RU" w:bidi="ar-SA"/>
    </w:rPr>
  </w:style>
  <w:style w:type="paragraph" w:styleId="Standard" w:customStyle="1">
    <w:name w:val="Standard"/>
    <w:qFormat/>
    <w:rsid w:val="00c254ca"/>
    <w:pPr>
      <w:widowControl w:val="false"/>
      <w:suppressAutoHyphens w:val="true"/>
      <w:bidi w:val="0"/>
      <w:spacing w:before="0" w:after="0"/>
      <w:jc w:val="left"/>
      <w:textAlignment w:val="baseline"/>
    </w:pPr>
    <w:rPr>
      <w:rFonts w:ascii="Liberation Serif" w:hAnsi="Liberation Serif" w:eastAsia="SimSun" w:cs="Mangal"/>
      <w:color w:val="00000A"/>
      <w:kern w:val="0"/>
      <w:sz w:val="24"/>
      <w:szCs w:val="24"/>
      <w:lang w:eastAsia="zh-CN" w:bidi="hi-IN" w:val="ru-RU"/>
    </w:rPr>
  </w:style>
  <w:style w:type="paragraph" w:styleId="Western" w:customStyle="1">
    <w:name w:val="western"/>
    <w:basedOn w:val="Normal"/>
    <w:qFormat/>
    <w:rsid w:val="008152ee"/>
    <w:pPr>
      <w:suppressAutoHyphens w:val="false"/>
      <w:spacing w:lineRule="auto" w:line="276" w:beforeAutospacing="1" w:after="142"/>
    </w:pPr>
    <w:rPr>
      <w:rFonts w:ascii="Liberation Serif" w:hAnsi="Liberation Serif" w:cs="Liberation Serif"/>
      <w:color w:val="000000"/>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garantf1://10064072.1001/"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LibreOffice/7.3.3.2$Windows_X86_64 LibreOffice_project/d1d0ea68f081ee2800a922cac8f79445e4603348</Application>
  <AppVersion>15.0000</AppVersion>
  <Pages>10</Pages>
  <Words>3816</Words>
  <Characters>27243</Characters>
  <CharactersWithSpaces>31218</CharactersWithSpaces>
  <Paragraphs>174</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2026-10-23T05:21:00Z</dcterms:created>
  <dc:creator>-</dc:creator>
  <dc:description/>
  <dc:language>ru-RU</dc:language>
  <cp:lastModifiedBy/>
  <cp:lastPrinted>2016-09-08T08:45:00Z</cp:lastPrinted>
  <dcterms:modified xsi:type="dcterms:W3CDTF">2026-10-23T10:24:06Z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