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7"/>
        <w:numPr>
          <w:ilvl w:val="0"/>
          <w:numId w:val="0"/>
        </w:numPr>
        <w:spacing w:line="480" w:lineRule="auto"/>
        <w:ind w:firstLine="0" w:left="0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7"/>
        <w:numPr>
          <w:ilvl w:val="0"/>
          <w:numId w:val="0"/>
        </w:numPr>
        <w:spacing w:line="480" w:lineRule="auto"/>
        <w:ind w:firstLine="0" w:left="0"/>
        <w:jc w:val="right"/>
        <w:outlineLvl w:val="0"/>
        <w:rPr>
          <w:b/>
          <w:bCs/>
        </w:rPr>
      </w:pPr>
      <w:r>
        <w:rPr>
          <w:b/>
          <w:bCs/>
        </w:rPr>
        <w:t xml:space="preserve">Приложение №1 к Извещению</w:t>
      </w:r>
      <w:r>
        <w:rPr>
          <w:b/>
          <w:bCs/>
        </w:rPr>
      </w:r>
      <w:r>
        <w:rPr>
          <w:b/>
          <w:bCs/>
        </w:rPr>
      </w:r>
    </w:p>
    <w:p>
      <w:pPr>
        <w:pStyle w:val="727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bCs/>
        </w:rPr>
        <w:tab/>
      </w:r>
      <w:r>
        <w:rPr>
          <w:b/>
          <w:iCs/>
        </w:rPr>
        <w:t xml:space="preserve">РАЗДЕЛ </w:t>
      </w:r>
      <w:r>
        <w:rPr>
          <w:b/>
          <w:iCs/>
          <w:lang w:val="en-US"/>
        </w:rPr>
        <w:t xml:space="preserve">I</w:t>
      </w:r>
      <w:r>
        <w:rPr>
          <w:b/>
          <w:iCs/>
        </w:rPr>
        <w:t xml:space="preserve">. </w:t>
      </w:r>
      <w:r>
        <w:rPr>
          <w:b/>
          <w:iCs/>
        </w:rPr>
      </w:r>
      <w:r>
        <w:rPr>
          <w:b/>
          <w:iCs/>
        </w:rPr>
      </w:r>
    </w:p>
    <w:p>
      <w:pPr>
        <w:pStyle w:val="727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</w:r>
      <w:r>
        <w:rPr>
          <w:b/>
          <w:iCs/>
        </w:rPr>
      </w:r>
      <w:r>
        <w:rPr>
          <w:b/>
          <w:iCs/>
        </w:rPr>
      </w:r>
    </w:p>
    <w:p>
      <w:pPr>
        <w:pStyle w:val="727"/>
        <w:numPr>
          <w:ilvl w:val="0"/>
          <w:numId w:val="0"/>
        </w:numPr>
        <w:spacing w:line="480" w:lineRule="auto"/>
        <w:ind w:firstLine="0" w:left="0"/>
        <w:outlineLvl w:val="0"/>
        <w:rPr>
          <w:b/>
          <w:sz w:val="20"/>
        </w:rPr>
      </w:pPr>
      <w:r>
        <w:rPr>
          <w:b/>
          <w:bCs/>
        </w:rPr>
        <w:t xml:space="preserve">                                                               </w:t>
      </w:r>
      <w:r>
        <w:rPr>
          <w:b/>
        </w:rPr>
        <w:t xml:space="preserve">Дополнительная информация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727"/>
        <w:spacing/>
        <w:ind/>
        <w:rPr/>
      </w:pPr>
      <w:r/>
      <w:r/>
    </w:p>
    <w:tbl>
      <w:tblPr>
        <w:tblInd w:w="-132" w:type="dxa"/>
        <w:tblW w:w="10065" w:type="dxa"/>
        <w:tblCellMar>
          <w:left w:w="10" w:type="dxa"/>
          <w:top w:w="0" w:type="dxa"/>
          <w:right w:w="1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715"/>
        <w:gridCol w:w="3392"/>
        <w:gridCol w:w="595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75" w:left="57"/>
              <w:rPr/>
            </w:pPr>
            <w:r>
              <w:rPr>
                <w:b/>
              </w:rPr>
              <w:t xml:space="preserve">№</w:t>
            </w:r>
            <w:r/>
          </w:p>
          <w:p>
            <w:pPr>
              <w:pStyle w:val="727"/>
              <w:widowControl w:val="false"/>
              <w:spacing/>
              <w:ind w:right="113" w:firstLine="75" w:left="57"/>
              <w:rPr/>
            </w:pP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center"/>
              <w:rPr/>
            </w:pPr>
            <w:r>
              <w:rPr>
                <w:b/>
              </w:rPr>
              <w:t xml:space="preserve">Наименование пункта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center"/>
              <w:rPr/>
            </w:pPr>
            <w:r>
              <w:rPr>
                <w:b/>
              </w:rPr>
              <w:t xml:space="preserve">Значение пункта</w:t>
            </w:r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uppressLineNumbers w:val="true"/>
              <w:spacing/>
              <w:ind w:right="113" w:firstLine="284" w:left="57"/>
              <w:jc w:val="both"/>
              <w:rPr/>
            </w:pPr>
            <w:r>
              <w:t xml:space="preserve">Наименование Организатора закупки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uppressLineNumbers w:val="true"/>
              <w:spacing/>
              <w:ind w:right="113" w:firstLine="284" w:left="57"/>
              <w:jc w:val="both"/>
              <w:rPr/>
            </w:pPr>
            <w:r>
              <w:t xml:space="preserve">Государственное казенное учреждение Оренбургской области «Центр организации закупок»</w:t>
            </w:r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Количество поставляемого товара, объем выполняемых работ, оказываемых услуг, требования к качеству, техническим характеристикам товара, работы, услуги, к их безопасности, к функциональн</w:t>
            </w:r>
            <w:r>
              <w:t xml:space="preserve">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 Заказчика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В соответствии с прилагаемым Техническим заданием</w:t>
            </w:r>
            <w:r/>
          </w:p>
        </w:tc>
      </w:tr>
      <w:tr>
        <w:trPr>
          <w:trHeight w:val="6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Начальная (максимальная) цена</w:t>
            </w:r>
            <w:r>
              <w:rPr>
                <w:rFonts w:eastAsia="Calibri"/>
                <w:highlight w:val="white"/>
              </w:rPr>
              <w:t xml:space="preserve"> договора (</w:t>
            </w:r>
            <w:r>
              <w:rPr>
                <w:rFonts w:eastAsia="Calibri"/>
                <w:highlight w:val="white"/>
                <w:lang w:eastAsia="en-US"/>
              </w:rPr>
              <w:t xml:space="preserve">единицы каждого товара, работы, услуги, являющихся предметом закупки</w:t>
            </w:r>
            <w:r>
              <w:rPr>
                <w:rFonts w:eastAsia="Calibri"/>
                <w:highlight w:val="white"/>
              </w:rPr>
              <w:t xml:space="preserve">).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b/>
                <w:iCs/>
                <w:highlight w:val="white"/>
              </w:rPr>
            </w:pPr>
            <w:r>
              <w:rPr>
                <w:rFonts w:eastAsia="Calibri"/>
                <w:b/>
                <w:iCs/>
                <w:highlight w:val="white"/>
                <w:lang w:eastAsia="en-US"/>
              </w:rPr>
            </w:r>
            <w:r>
              <w:rPr>
                <w:rFonts w:eastAsia="Calibri"/>
                <w:b/>
                <w:iCs/>
                <w:highlight w:val="white"/>
                <w:lang w:eastAsia="en-US"/>
              </w:rPr>
            </w:r>
            <w:r>
              <w:rPr>
                <w:rFonts w:eastAsia="Calibri"/>
                <w:b/>
                <w:iCs/>
                <w:highlight w:val="white"/>
                <w:lang w:eastAsia="en-US"/>
              </w:rPr>
              <w:t xml:space="preserve">2 958 283,00</w:t>
            </w:r>
            <w:r>
              <w:rPr>
                <w:rFonts w:eastAsia="Calibri"/>
                <w:b/>
                <w:iCs/>
                <w:highlight w:val="white"/>
                <w:lang w:eastAsia="en-US"/>
              </w:rPr>
            </w:r>
            <w:r>
              <w:rPr>
                <w:rFonts w:eastAsia="Calibri"/>
                <w:b/>
                <w:iCs/>
                <w:highlight w:val="white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highlight w:val="white"/>
                <w:lang w:eastAsia="en-US"/>
              </w:rPr>
              <w:t xml:space="preserve"> </w:t>
            </w:r>
            <w:r>
              <w:rPr>
                <w:rFonts w:eastAsia="Calibri"/>
                <w:b/>
                <w:iCs/>
                <w:highlight w:val="white"/>
                <w:lang w:eastAsia="en-US"/>
              </w:rPr>
              <w:t xml:space="preserve"> руб.</w:t>
            </w:r>
            <w:r>
              <w:rPr>
                <w:rFonts w:eastAsia="Calibri"/>
                <w:b/>
                <w:iCs/>
                <w:highlight w:val="white"/>
              </w:rPr>
            </w:r>
            <w:r>
              <w:rPr>
                <w:rFonts w:eastAsia="Calibri"/>
                <w:b/>
                <w:iCs/>
                <w:highlight w:val="white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iCs/>
                <w:highlight w:val="white"/>
              </w:rPr>
            </w:pPr>
            <w:r>
              <w:rPr>
                <w:rFonts w:eastAsia="Calibri"/>
                <w:iCs/>
                <w:highlight w:val="white"/>
                <w:lang w:eastAsia="en-US"/>
              </w:rPr>
            </w:r>
            <w:r>
              <w:rPr>
                <w:rFonts w:eastAsia="Calibri"/>
                <w:iCs/>
                <w:highlight w:val="white"/>
              </w:rPr>
            </w:r>
            <w:r>
              <w:rPr>
                <w:rFonts w:eastAsia="Calibri"/>
                <w:iCs/>
                <w:highlight w:val="white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Сведения о начальной (максимальной) цене единицы каждого товара, работы, услуги, являющихся предметом закупки, указаны в приложенном обосновании начальной (максимальной) цены договора.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rFonts w:eastAsia="Calibri"/>
                <w:b/>
                <w:bCs/>
              </w:rPr>
              <w:t xml:space="preserve">Порядок формирования цены</w:t>
            </w:r>
            <w:r>
              <w:rPr>
                <w:rFonts w:eastAsia="Calibri"/>
              </w:rPr>
              <w:t xml:space="preserve"> договора (цены лота) (с учетом расходов на перевозку, страхование, уплату таможенных пошлин, налогов и других обязательных платежей)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rFonts w:eastAsia="Calibri"/>
              </w:rPr>
              <w:t xml:space="preserve">В цену договора должны быть вк</w:t>
            </w:r>
            <w:r>
              <w:rPr>
                <w:rFonts w:eastAsia="Calibri"/>
              </w:rPr>
              <w:t xml:space="preserve">лючены стоимость товара, работы, услуги, расходы на доставку, страхование, уплату налогов, акцизов, сборов и другие обязательные платежи, а также иные расходы, которые могут возникнуть у поставщика (исполнителя, подрядчика) при выполнении условий договора.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Сведения о валюте</w:t>
            </w:r>
            <w:r>
              <w:t xml:space="preserve">, используемой для формирования цены договора и расчетов с поставщиками (исполнителями, подрядчиками).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rFonts w:eastAsia="Calibri"/>
              </w:rPr>
              <w:t xml:space="preserve">Российский рубль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 xml:space="preserve">Формы, порядок </w:t>
            </w:r>
            <w:r>
              <w:rPr>
                <w:rFonts w:eastAsia="Calibri"/>
              </w:rPr>
              <w:t xml:space="preserve">предоставления участникам закупки </w:t>
            </w:r>
            <w:r>
              <w:rPr>
                <w:rFonts w:eastAsia="Calibri"/>
                <w:b/>
                <w:bCs/>
              </w:rPr>
              <w:t xml:space="preserve">разъяснений</w:t>
            </w:r>
            <w:r>
              <w:rPr>
                <w:rFonts w:eastAsia="Calibri"/>
              </w:rPr>
              <w:t xml:space="preserve"> положений   извещения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Любой участник закупки вправе направить Заказчику посредством электронной площадки запрос о даче разъяснений положений извещения о закупке. В течение трех рабочих дней со дня поступления указан</w:t>
            </w:r>
            <w:r>
              <w:rPr>
                <w:rFonts w:eastAsia="Calibri"/>
              </w:rPr>
              <w:t xml:space="preserve">ного запроса Заказчик размещает разъяснение положений извещения о конкурентной закупке в единой информационной системе с указанием предмета запроса, но без указания участника закупки, от которого поступил указанный запрос, если запрос поступил к Заказчику.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rFonts w:eastAsia="Calibri"/>
              </w:rPr>
              <w:t xml:space="preserve">Разъяснения положений извещения о закупке не должны изменять предмет закупки и существенные условия проекта договора.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rFonts w:eastAsia="Calibri"/>
                <w:b/>
              </w:rPr>
              <w:t xml:space="preserve">Порядок </w:t>
            </w:r>
            <w:r>
              <w:rPr>
                <w:rFonts w:eastAsia="Calibri"/>
              </w:rPr>
              <w:t xml:space="preserve">подведения итогов запроса котировок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При подведении итогов запроса котировок на основании результатов рассмотрения заявок на участие в запросе котировок комиссия присваивает каждой такой заявке порядковый номер в порядке уменьшения степени выгодности </w:t>
            </w:r>
            <w:bookmarkStart w:id="0" w:name="_Hlk519216363"/>
            <w:r>
              <w:rPr>
                <w:rFonts w:eastAsia="Calibri"/>
                <w:lang w:eastAsia="en-US"/>
              </w:rPr>
              <w:t xml:space="preserve">предложенных соответствующими участниками запроса котировок ценовых предложений</w:t>
            </w:r>
            <w:bookmarkEnd w:id="0"/>
            <w:r>
              <w:rPr>
                <w:rFonts w:eastAsia="Calibri"/>
                <w:lang w:eastAsia="en-US"/>
              </w:rPr>
              <w:t xml:space="preserve">. Заявке на участие в запросе котировок, в</w:t>
            </w:r>
            <w:r>
              <w:rPr>
                <w:rFonts w:eastAsia="Calibri"/>
                <w:lang w:eastAsia="en-US"/>
              </w:rPr>
              <w:t xml:space="preserve"> которой содержится наименьшее ценовое предложение,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Требования </w:t>
            </w:r>
            <w:r>
              <w:rPr>
                <w:rFonts w:eastAsia="Calibri"/>
                <w:b/>
              </w:rPr>
              <w:t xml:space="preserve">к участникам закупки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</w:t>
            </w:r>
            <w:r>
              <w:rPr>
                <w:rFonts w:eastAsia="Calibri"/>
                <w:b/>
              </w:rPr>
              <w:t xml:space="preserve">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</w:t>
            </w:r>
            <w:r>
              <w:rPr>
                <w:rFonts w:eastAsia="Calibri"/>
              </w:rPr>
              <w:t xml:space="preserve">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</w:t>
            </w:r>
            <w:r>
              <w:rPr>
                <w:rFonts w:eastAsia="Calibri"/>
                <w:b/>
              </w:rPr>
              <w:t xml:space="preserve">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</w:t>
            </w:r>
            <w:r>
              <w:rPr>
                <w:rFonts w:eastAsia="Calibri"/>
              </w:rPr>
              <w:t xml:space="preserve">.</w:t>
            </w:r>
            <w:r>
              <w:t xml:space="preserve"> В случае участия юридического или физического лица в составе коллективного участника закупки, такое лицо не вправе участвовать в той же закупке в отдельной заявке на участие от своего лица или в составе другого коллективного участника закупки.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/>
            <w:r/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При осуществлении процедуры запроса котировок к участникам закупки предъявляются </w:t>
            </w:r>
            <w:r>
              <w:rPr>
                <w:b/>
              </w:rPr>
              <w:t xml:space="preserve">следующие требования</w:t>
            </w:r>
            <w:r>
              <w:t xml:space="preserve">:</w:t>
            </w:r>
            <w:r/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1) 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 </w:t>
            </w:r>
            <w:r>
              <w:rPr>
                <w:rFonts w:eastAsia="Calibri"/>
                <w:lang w:eastAsia="zh-CN"/>
              </w:rPr>
              <w:t xml:space="preserve">(в случае, если в соответствии с законодательством Российской Федерации установлены такие требования (например, наличие лицензии, наличие аккредитации, наличие допуска саморегулируемой организации и т. д.)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i/>
              </w:rPr>
              <w:t xml:space="preserve">(применяется в случае, если в соответствии с пунктом 10.1 настоящего приложения к извещению участнику закупки в составе заявки необходимо предоставить документ </w:t>
            </w:r>
            <w:r>
              <w:rPr>
                <w:rFonts w:eastAsia="Calibri"/>
                <w:i/>
                <w:lang w:eastAsia="zh-CN"/>
              </w:rPr>
              <w:t xml:space="preserve">(копию документа), подтверждающего соответствие участника закупки таким требованиям).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/>
            <w:r/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t xml:space="preserve">Отсутствие участника закупки в перечне юридических лиц, в отношении которых применяются специальные экономические меры, утвержденного постановлением Правительства РФ от 11 мая 2022 г. № 851 «О мерах по реализации Указа Президента Российской Фед</w:t>
            </w:r>
            <w:r>
              <w:t xml:space="preserve">ерации от 3 мая 2022 г. № 252». Основание: Указ Президента Российской Федерации от 3 мая 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</w:r>
            <w:r>
              <w:rPr>
                <w:rFonts w:eastAsia="Calibri"/>
                <w:lang w:eastAsia="zh-CN"/>
              </w:rPr>
            </w:r>
            <w:r>
              <w:rPr>
                <w:rFonts w:eastAsia="Calibri"/>
                <w:lang w:eastAsia="zh-CN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3) Неприостановление деятельности участника закупки в порядке, предусмотренном Кодексом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4) Отсутствие у участника закупки недоимки по налогам, сборам, задолженности по иным обязательным платеж</w:t>
            </w:r>
            <w:r>
              <w:rPr>
                <w:rFonts w:eastAsia="Calibri"/>
              </w:rPr>
              <w:t xml:space="preserve">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</w:t>
            </w:r>
            <w:r>
              <w:rPr>
                <w:rFonts w:eastAsia="Calibri"/>
              </w:rPr>
              <w:t xml:space="preserve">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</w:t>
            </w:r>
            <w:r>
              <w:rPr>
                <w:rFonts w:eastAsia="Calibri"/>
              </w:rPr>
              <w:t xml:space="preserve">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такой зак</w:t>
            </w:r>
            <w:r>
              <w:rPr>
                <w:rFonts w:eastAsia="Calibri"/>
              </w:rPr>
              <w:t xml:space="preserve">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5) Отсутствие у участника закупки – физического лица, зарегистрированного в качестве индивидуального предпринимателя, либо у </w:t>
            </w:r>
            <w:r>
              <w:rPr>
                <w:rFonts w:eastAsia="Calibri"/>
              </w:rPr>
              <w:t xml:space="preserve">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</w:t>
            </w:r>
            <w:r>
              <w:rPr>
                <w:rFonts w:eastAsia="Calibri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eastAsia="Calibri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6) Отсутствие фактов привлечения в течение двух лет до момента по</w:t>
            </w:r>
            <w:r>
              <w:rPr>
                <w:rFonts w:eastAsia="Calibri"/>
              </w:rPr>
              <w:t xml:space="preserve">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7) Участник не является офшорной компанией, </w:t>
            </w:r>
            <w:r>
              <w:t xml:space="preserve">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</w:t>
            </w:r>
            <w:r>
              <w:t xml:space="preserve">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</w:t>
            </w:r>
            <w:r>
              <w:rPr>
                <w:rFonts w:eastAsia="Calibri"/>
              </w:rPr>
              <w:t xml:space="preserve">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Calibri"/>
              </w:rPr>
              <w:t xml:space="preserve">8)</w:t>
            </w:r>
            <w:r>
              <w:rPr>
                <w:rFonts w:eastAsia="Calibri"/>
              </w:rPr>
              <w:tab/>
            </w: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sz w:val="24"/>
                <w:szCs w:val="24"/>
                <w:highlight w:val="none"/>
                <w:lang w:eastAsia="ru-RU"/>
              </w:rPr>
            </w:pP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9) отсутствие у участника закупки ограничений для участия в закупках, установленных законодательством Российской Федерации.</w:t>
            </w:r>
            <w:r>
              <w:rPr>
                <w:sz w:val="24"/>
                <w:szCs w:val="24"/>
                <w:highlight w:val="none"/>
                <w:lang w:eastAsia="ru-RU"/>
              </w:rPr>
            </w:r>
            <w:r>
              <w:rPr>
                <w:sz w:val="24"/>
                <w:szCs w:val="24"/>
                <w:highlight w:val="none"/>
                <w:lang w:eastAsia="ru-RU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strike w:val="0"/>
                <w:color w:val="000000"/>
                <w:highlight w:val="white"/>
                <w:shd w:val="clear" w:color="auto" w:fill="ffff00"/>
              </w:rPr>
            </w:pPr>
            <w:r>
              <w:rPr>
                <w:strike w:val="0"/>
                <w:color w:val="000000"/>
                <w:highlight w:val="white"/>
                <w:shd w:val="clear" w:color="auto" w:fill="ffff00"/>
              </w:rPr>
              <w:t xml:space="preserve">10) 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11) Отсутствие сведений об участнике закупки в реестре недобросовестных поставщиков, предусмотренном ст. 5 Федерального закона №</w:t>
            </w:r>
            <w:r>
              <w:rPr>
                <w:rFonts w:eastAsia="Calibri"/>
              </w:rPr>
              <w:t xml:space="preserve"> 223-ФЗ и в реестре недобросовестных поставщиков, предусмотренном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widowControl w:val="false"/>
              <w:tabs>
                <w:tab w:val="left" w:leader="none" w:pos="142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12)</w:t>
            </w:r>
            <w:r>
              <w:t xml:space="preserve"> Обладание участникам</w:t>
            </w:r>
            <w:r>
              <w:t xml:space="preserve">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/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 xml:space="preserve">13)</w:t>
            </w:r>
            <w:r>
              <w:t xml:space="preserve"> Обладание участником закупки правами использования результата интеллектуальной деятельнос</w:t>
            </w:r>
            <w:r>
              <w:t xml:space="preserve">ти в случае использования такого результата при исполнении договора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Дополнительные требования: не установлены.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720"/>
              </w:tabs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  <w:r>
              <w:rPr>
                <w:rFonts w:eastAsia="Times New Roman"/>
                <w:b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Требования к описанию участниками закупки поставляемого товара, который является предметом конкурентной закупки, его функциональных характеристик (по</w:t>
            </w:r>
            <w:r>
              <w:rPr>
                <w:b/>
              </w:rPr>
              <w:t xml:space="preserve">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/>
            </w:pPr>
            <w:r>
              <w:t xml:space="preserve">Участник закупки описывает предлагаемые товары в соответствии с требованиями к форме и оформлению, установленными в Приложении №2 к настоящему Извещению.</w:t>
            </w:r>
            <w:r/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/>
            </w:pPr>
            <w:r>
              <w:t xml:space="preserve">Участник закупки представляет в заявке (по рекомендуемой форме Приложения №2 к Извещению) описание товара в случае поставки товара, а также  в случае выполнения работ, оказания услуг при наличии в составе извещения о закупке отдельн</w:t>
            </w:r>
            <w:r>
              <w:t xml:space="preserve">ого перечня товаров, поставляемых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товаров.</w:t>
            </w:r>
            <w:r/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/>
            </w:pPr>
            <w:r>
              <w:t xml:space="preserve">Такое описание должно содержать указание (декларирование) участником закупки в заявке на участие в закупке  наименования страны происхождения поставляемых товаров.</w:t>
            </w:r>
            <w:r/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/>
            </w:pPr>
            <w:r>
              <w:t xml:space="preserve">При описании объекта закупки участник может не указыв</w:t>
            </w:r>
            <w:r>
              <w:t xml:space="preserve">ать технические характеристики и конкретные показатели товара (в т.ч. товара поставляемого при оказании услуг, выполнении работ), если в Техническом Задании и (или) иных документах есть указания на товарные знаки* и участник предлагает такой товарный знак.</w:t>
            </w:r>
            <w:r/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/>
            </w:pPr>
            <w:r>
      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</w:t>
            </w:r>
            <w:r>
              <w:t xml:space="preserve">допускать разночтения или двусмысленное толкование: недопустимо использовать в предложении фразы, знаки и символы «должно», «не должно», «могут», «может», «не более», «не менее», «или», «должен», «более», «менее», «не выше», «не ниже», «выше», «ниже», «  ≥</w:t>
            </w:r>
            <w:r>
              <w:t xml:space="preserve"> »,  « ≤ », « &gt; », « &lt; », «свыше», «требуются», такие значения характеристик будут рассматриваться как не конкретные, участник должен указать точное значение параметра товара, за исключением случаев, если заказчиком в извещении установлены иные требования.</w:t>
            </w:r>
            <w:r/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/>
            </w:pPr>
            <w:r>
              <w:t xml:space="preserve">* а также знак обслуживания, фирменное наименование, модель, артикул, партийный номер и т.д.</w:t>
            </w:r>
            <w:r/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113" w:firstLine="284" w:left="57"/>
              <w:jc w:val="both"/>
              <w:rPr>
                <w:rFonts w:eastAsia="Calibri"/>
                <w:i/>
                <w:color w:val="000000"/>
              </w:rPr>
            </w:pPr>
            <w:r>
              <w:t xml:space="preserve">Инструкция по заполнению заявки содержится в приложении № 2 к настоящему извещению.</w:t>
            </w:r>
            <w:r>
              <w:rPr>
                <w:rFonts w:eastAsia="Calibri"/>
                <w:i/>
                <w:color w:val="000000"/>
              </w:rPr>
            </w:r>
            <w:r>
              <w:rPr>
                <w:rFonts w:eastAsia="Calibri"/>
                <w:i/>
                <w:color w:val="000000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rPr>
                <w:b/>
              </w:rPr>
              <w:t xml:space="preserve">Требования к содержанию, форме, оформлению и составу заявки на участие в закупке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Заявка подается в соответствии с требованиями к содержанию, форме, оформлению и составу предусмотренными настоящим извещением и  в соответствии с регламентом ЭТП. При несоответствии заявки требов</w:t>
            </w:r>
            <w:r>
              <w:rPr>
                <w:rFonts w:eastAsia="Calibri"/>
                <w:lang w:eastAsia="en-US"/>
              </w:rPr>
              <w:t xml:space="preserve">аниям к  форме заявки, комиссия вправе признать заявку соответствующей требованиям предусмотренными настоящим извещением о закупке, только в случае соответствии заявки требованиям к содержанию и составу заявки, установленным настоящим извещением о закупке.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hd w:val="clear" w:color="auto" w:fill="ffffff"/>
              <w:spacing/>
              <w:ind w:firstLine="540"/>
              <w:jc w:val="both"/>
              <w:rPr/>
            </w:pPr>
            <w:r>
              <w:rPr>
                <w:rFonts w:eastAsia="Calibri"/>
                <w:lang w:eastAsia="en-US"/>
              </w:rPr>
              <w:t xml:space="preserve">Подачей заявки на участие в закупке, участник закупки выражает согласие на поставку товара, выполнение работы, оказание услуги </w:t>
            </w:r>
            <w:r>
              <w:t xml:space="preserve">на условиях, предусмотренных извещением об осуществлении закупки,</w:t>
            </w:r>
            <w:r>
              <w:rPr>
                <w:rFonts w:eastAsia="Calibri"/>
                <w:lang w:eastAsia="en-US"/>
              </w:rPr>
              <w:t xml:space="preserve"> в том числе согласие со всеми условиями исполнения договора,</w:t>
            </w:r>
            <w:r>
              <w:t xml:space="preserve"> а также в соответствии с заявкой такого участника закупки на участие в закупке.</w:t>
            </w:r>
            <w:r/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Заявка на участие в запросе котировок в электронной форме должна содержать: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1) наименование, фирменное наименование (при наличии), адрес юридического лица в пределах места нахождения юридического лица;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 закупки является индивидуальный предприниматель;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3)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</w:t>
            </w:r>
            <w:r>
              <w:rPr>
                <w:rFonts w:eastAsia="Calibri"/>
                <w:lang w:eastAsia="en-US"/>
              </w:rPr>
              <w:t xml:space="preserve">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5) копии документов, подтверждающих соотв</w:t>
            </w:r>
            <w:r>
              <w:rPr>
                <w:rFonts w:eastAsia="Calibri"/>
                <w:lang w:eastAsia="en-US"/>
              </w:rPr>
              <w:t xml:space="preserve">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случая, предусмотренного </w:t>
            </w:r>
            <w:hyperlink w:tooltip="#Par18" w:anchor="Par18" w:history="1">
              <w:r>
                <w:rPr>
                  <w:rFonts w:eastAsia="Calibri"/>
                  <w:lang w:eastAsia="en-US"/>
                </w:rPr>
                <w:t xml:space="preserve">подпунктом "е" подпункта 8</w:t>
              </w:r>
            </w:hyperlink>
            <w:r>
              <w:rPr>
                <w:rFonts w:eastAsia="Calibri"/>
                <w:lang w:eastAsia="en-US"/>
              </w:rPr>
              <w:t xml:space="preserve">  настоящего пункта приложения к извещению;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и перечень данных документов указываются в п. 10.1., п.10.3, п.10.4, п.10.5 настоящего приложения к извещению.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</w:t>
            </w:r>
            <w:r>
              <w:rPr>
                <w:rFonts w:eastAsia="Calibri"/>
                <w:lang w:eastAsia="en-US"/>
              </w:rPr>
              <w:t xml:space="preserve">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</w:t>
            </w:r>
            <w:r>
              <w:rPr>
                <w:rFonts w:eastAsia="Calibri"/>
                <w:lang w:eastAsia="en-US"/>
              </w:rPr>
              <w:t xml:space="preserve">кой закупки,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закупки) является крупной сделкой (непредставление решения не является основанием отклонения заявки);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7) информация и документы об обеспечении заявки на участие в закупке, если соответствующее требование предусмотрено извещением об осуществлении такой закупки: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независимая гарантия или ее копия, либо безотзывная банковска</w:t>
            </w:r>
            <w:r>
              <w:rPr>
                <w:rFonts w:eastAsia="Calibri"/>
                <w:lang w:eastAsia="en-US"/>
              </w:rPr>
              <w:t xml:space="preserve">я гарантия или ее копия, если в качестве обеспечения заявки на участие в закупке участником такой закупки предоставляется независимая или безотзывная банковская гарантия, соответствующая требованиям, установленным в п. 11  настоящего приложения к извещению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8) декларация, подтверждающая на дату подачи заявки на участие в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а) непроведение ликвидации участника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б) неприостановление деятельности участника закупки в порядке, установленном </w:t>
            </w:r>
            <w:hyperlink r:id="rId10" w:tooltip="consultantplus://offline/ref=224DA882DFB7DD89826BF54A7706B6F19570CAFA77E2E597A5ED6C920BA39FCA69111143AEAA8C0E9A9992C08DF7D4E7A23EE05D5Di1C5F" w:history="1">
              <w:r>
                <w:rPr>
                  <w:rFonts w:eastAsia="Calibri"/>
                  <w:lang w:eastAsia="en-US"/>
                </w:rPr>
                <w:t xml:space="preserve">Кодексом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в) отсутствие у у</w:t>
            </w:r>
            <w:r>
              <w:rPr>
                <w:rFonts w:eastAsia="Calibri"/>
                <w:lang w:eastAsia="en-US"/>
              </w:rPr>
              <w:t xml:space="preserve">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11" w:tooltip="consultantplus://offline/ref=224DA882DFB7DD89826BF54A7706B6F19570CDFC77EEE597A5ED6C920BA39FCA69111145A6AC85519F8C839881F6CAF9A426FC5F5F16i1CBF" w:history="1">
              <w:r>
                <w:rPr>
                  <w:rFonts w:eastAsia="Calibri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сборах, которые реструк</w:t>
            </w:r>
            <w:r>
              <w:rPr>
                <w:rFonts w:eastAsia="Calibri"/>
                <w:lang w:eastAsia="en-US"/>
              </w:rPr>
              <w:t xml:space="preserve">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      </w:r>
            <w:hyperlink r:id="rId12" w:tooltip="consultantplus://offline/ref=224DA882DFB7DD89826BF54A7706B6F19570CDFC77EEE597A5ED6C920BA39FCA69111147AEA883519F8C839881F6CAF9A426FC5F5F16i1CBF" w:history="1">
              <w:r>
                <w:rPr>
                  <w:rFonts w:eastAsia="Calibri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</w:t>
            </w:r>
            <w:r>
              <w:rPr>
                <w:rFonts w:eastAsia="Calibri"/>
                <w:lang w:eastAsia="en-US"/>
              </w:rPr>
              <w:t xml:space="preserve">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</w:t>
            </w:r>
            <w:r>
              <w:rPr>
                <w:rFonts w:eastAsia="Calibri"/>
                <w:lang w:eastAsia="en-US"/>
              </w:rPr>
              <w:t xml:space="preserve">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г) отсутствие у участника закупки - физического лица, зарегистрированного в качестве индивидуального предпринимателя, либо у руководителя, членов коллегиального ис</w:t>
            </w:r>
            <w:r>
              <w:rPr>
                <w:rFonts w:eastAsia="Calibri"/>
                <w:lang w:eastAsia="en-US"/>
              </w:rPr>
              <w:t xml:space="preserve">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предусмотренные </w:t>
            </w:r>
            <w:hyperlink r:id="rId13" w:tooltip="consultantplus://offline/ref=224DA882DFB7DD89826BF54A7706B6F19570CEFF73E6E597A5ED6C920BA39FCA69111147AFA98F53CCD6939CC8A2C7E6A43EE25B41161A29i6C0F" w:history="1">
              <w:r>
                <w:rPr>
                  <w:rFonts w:eastAsia="Calibri"/>
                  <w:lang w:eastAsia="en-US"/>
                </w:rPr>
                <w:t xml:space="preserve">статьями 289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4" w:tooltip="consultantplus://offline/ref=224DA882DFB7DD89826BF54A7706B6F19570CEFF73E6E597A5ED6C920BA39FCA69111144AFAD83519F8C839881F6CAF9A426FC5F5F16i1CBF" w:history="1">
              <w:r>
                <w:rPr>
                  <w:rFonts w:eastAsia="Calibri"/>
                  <w:lang w:eastAsia="en-US"/>
                </w:rPr>
                <w:t xml:space="preserve">290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5" w:tooltip="consultantplus://offline/ref=224DA882DFB7DD89826BF54A7706B6F19570CEFF73E6E597A5ED6C920BA39FCA69111144AFAF85519F8C839881F6CAF9A426FC5F5F16i1CBF" w:history="1">
              <w:r>
                <w:rPr>
                  <w:rFonts w:eastAsia="Calibri"/>
                  <w:lang w:eastAsia="en-US"/>
                </w:rPr>
                <w:t xml:space="preserve">291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6" w:tooltip="consultantplus://offline/ref=224DA882DFB7DD89826BF54A7706B6F19570CEFF73E6E597A5ED6C920BA39FCA69111144AFA081519F8C839881F6CAF9A426FC5F5F16i1CBF" w:history="1">
              <w:r>
                <w:rPr>
                  <w:rFonts w:eastAsia="Calibri"/>
                  <w:lang w:eastAsia="en-US"/>
                </w:rPr>
                <w:t xml:space="preserve">291.1</w:t>
              </w:r>
            </w:hyperlink>
            <w:r>
              <w:rPr>
                <w:rFonts w:eastAsia="Calibri"/>
                <w:lang w:eastAsia="en-US"/>
              </w:rPr>
              <w:t xml:space="preserve"> Уголовного кодекса Российской Федерации, а также неприменение в отношении указанных физических лиц наказания в виде лишен</w:t>
            </w:r>
            <w:r>
              <w:rPr>
                <w:rFonts w:eastAsia="Calibri"/>
                <w:lang w:eastAsia="en-US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д) отсутствие фактов привлечения в течение двух лет до момента подачи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</w:t>
            </w:r>
            <w:hyperlink r:id="rId17" w:tooltip="consultantplus://offline/ref=224DA882DFB7DD89826BF54A7706B6F19570CAFA77E2E597A5ED6C920BA39FCA69111144A9AA87519F8C839881F6CAF9A426FC5F5F16i1CBF" w:history="1">
              <w:r>
                <w:rPr>
                  <w:rFonts w:eastAsia="Calibri"/>
                  <w:lang w:eastAsia="en-US"/>
                </w:rPr>
                <w:t xml:space="preserve">статьей 19.28</w:t>
              </w:r>
            </w:hyperlink>
            <w:r>
              <w:rPr>
                <w:rFonts w:eastAsia="Calibri"/>
                <w:lang w:eastAsia="en-US"/>
              </w:rPr>
              <w:t xml:space="preserve"> Кодекса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/>
            <w:bookmarkStart w:id="1" w:name="Par18"/>
            <w:r/>
            <w:bookmarkEnd w:id="1"/>
            <w:r>
              <w:rPr>
                <w:rFonts w:eastAsia="Calibri"/>
                <w:lang w:eastAsia="en-US"/>
              </w:rPr>
              <w:t xml:space="preserve">е) соответствие участника закупки указанным в извещении о закупке требованиям законодательства Российской Федерации к лицам, осуществляющим поставку товара, выполн</w:t>
            </w:r>
            <w:r>
              <w:rPr>
                <w:rFonts w:eastAsia="Calibri"/>
                <w:lang w:eastAsia="en-US"/>
              </w:rPr>
              <w:t xml:space="preserve">ение работы, оказание услуги, являющихся предметом закупки, если в соответствии с законодательством Российской Федерации информация и документы, подтверждающие такое соответствие  указанные в п.10.1  настоящего приложения к извещению, содержатся в открытых</w:t>
            </w:r>
            <w:r>
              <w:rPr>
                <w:rFonts w:eastAsia="Calibri"/>
                <w:lang w:eastAsia="en-US"/>
              </w:rPr>
              <w:t xml:space="preserve"> и общедоступных государственных реестрах, размещенных в информационно-телекоммуникационной сети "Интернет" (с указанием адреса сайта или страницы сайта в информационно-телекоммуникационной сети "Интернет", на которых размещены эти информация и документы);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ж)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з)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0" w:firstLine="540" w:left="0"/>
              <w:jc w:val="both"/>
              <w:rPr>
                <w:highlight w:val="white"/>
                <w:shd w:val="clear" w:color="auto" w:fill="ffff00"/>
              </w:rPr>
            </w:pPr>
            <w:r>
              <w:rPr>
                <w:rFonts w:eastAsia="Calibri"/>
                <w:highlight w:val="white"/>
                <w:shd w:val="clear" w:color="auto" w:fill="ffff00"/>
                <w:lang w:eastAsia="en-US"/>
              </w:rPr>
              <w:t xml:space="preserve">и) 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highlight w:val="white"/>
                <w:shd w:val="clear" w:color="auto" w:fill="ffff00"/>
              </w:rPr>
            </w:r>
            <w:r>
              <w:rPr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spacing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9) Предложение участника закупки в отношении предмета такой закупки (форма, состав, содержание и требования к её оформлению указаны в Приложении №2 к настоящему извещению);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10)Копии документов, подтверждающих соответствие товара, работы или услуги требованиям, установленным в </w:t>
            </w:r>
            <w:r>
              <w:rPr>
                <w:rFonts w:eastAsia="Calibri"/>
                <w:lang w:eastAsia="en-US"/>
              </w:rPr>
              <w:t xml:space="preserve">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услуге). Перечень таких документов указан в п. 10.2  настоящего приложения к извещению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11)</w:t>
            </w:r>
            <w:r>
              <w:t xml:space="preserve"> информация и документы,</w:t>
            </w:r>
            <w:r>
              <w:rPr>
                <w:rFonts w:eastAsia="Calibri"/>
              </w:rPr>
              <w:t xml:space="preserve"> которые подтверждают страну происхождения товара </w:t>
            </w:r>
            <w:r>
              <w:t xml:space="preserve">в случае, если в извещении о закупке и (или) </w:t>
            </w:r>
            <w:r>
              <w:rPr>
                <w:rFonts w:eastAsia="Calibri"/>
                <w:lang w:eastAsia="en-US"/>
              </w:rPr>
              <w:t xml:space="preserve">п. 16  настоящего приложения к извещению у</w:t>
            </w:r>
            <w:r>
              <w:t xml:space="preserve">становлены и применяются 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Наименование и перечень данной информации и документов указаны в п. 10.1  настоящего приложения к извещению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случае указания в заявке на участие в запросе котировок в электронной форме ценового предложения, о</w:t>
            </w:r>
            <w:r>
              <w:rPr>
                <w:rFonts w:eastAsia="Calibri"/>
                <w:lang w:eastAsia="en-US"/>
              </w:rPr>
              <w:t xml:space="preserve">тличного от ценового предложения, указанного участником закупки посредством программно-аппаратных средств электронной площадки, оценка заявки осуществляется по ценовому предложению, указанному посредством программно-аппаратных средств электронной площадки.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</w:t>
            </w:r>
            <w:r>
              <w:rPr>
                <w:rFonts w:eastAsia="Calibri"/>
                <w:lang w:eastAsia="en-US"/>
              </w:rPr>
              <w:t xml:space="preserve">Декларация, предусмотренная </w:t>
            </w:r>
            <w:hyperlink r:id="rId18" w:tooltip="consultantplus://offline/ref=B5199C083043C5A68AD2121A7B6DF8F9B6A4096697AC60CB4E484921E8ADDB178464FBD20F4C38B52AF81BBB05BA96868E5D314CB1s9n6F" w:history="1">
              <w:r>
                <w:rPr>
                  <w:rFonts w:eastAsia="Calibri"/>
                  <w:lang w:eastAsia="en-US"/>
                </w:rPr>
                <w:t xml:space="preserve">подпунктом 8</w:t>
              </w:r>
            </w:hyperlink>
            <w:r>
              <w:rPr>
                <w:rFonts w:eastAsia="Calibri"/>
                <w:lang w:eastAsia="en-US"/>
              </w:rPr>
              <w:t xml:space="preserve"> настоящего пункта приложения к извещению, представляется в составе заявки участником закупки по форме Приложения  №3 к извещению или с ис  пользованием программно-аппаратных средств электронной площадки.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Для группы (нескольких лиц) лиц, выступающих на стороне одного участника закупки: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Документ, подтверждающий объедине</w:t>
            </w:r>
            <w:r>
              <w:rPr>
                <w:rFonts w:eastAsia="Calibri"/>
                <w:lang w:eastAsia="en-US"/>
              </w:rPr>
              <w:t xml:space="preserve">ние лиц, выступающих на стороне одного участника закупки в группу, и право конкретного участника закупки участвовать в процедуре закупки от имени группы лиц, в том числе подавать заявку, вносить обеспечение заявки, договора, подписывать протоколы, договор;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Документы и сведения в соответствии с п.10 Приложения 1 к извещению участника закупки, которому от имени группы лиц поручено подать заявку.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10.1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Перечен</w:t>
            </w:r>
            <w:r>
              <w:rPr>
                <w:b/>
              </w:rPr>
              <w:t xml:space="preserve">ь копий документов, подтверждающих соответствие участника котировок требованиям, установленным в соответствии с законодательством Российской Федерации к лицам, осуществляющим поставки товаров, выполнение работ и оказание услуг, являющихся объектом закупки.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Если в соответствии с законодательством Российской Федерации указанные документы, подтверждающие такое соответствие  содержатся в открытых и общедоступных </w:t>
            </w:r>
            <w:r>
              <w:rPr>
                <w:b/>
              </w:rPr>
              <w:t xml:space="preserve">государственных реестрах, размещенных в информационно-телекоммуникационной сети "Интернет" участник закупки вправе указать адрес сайта или страницы сайта в информационно-телекоммуникационной сети "Интернет", на которых размещены эти информация и документы.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 w14:paraId="785EA1A1"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color w:val="000000"/>
                <w:lang w:eastAsia="zh-CN"/>
              </w:rPr>
            </w:pPr>
            <w:r>
              <w:rPr>
                <w:rFonts w:eastAsia="Calibri"/>
                <w:color w:val="000000"/>
                <w:lang w:eastAsia="zh-CN"/>
              </w:rPr>
              <w:t xml:space="preserve">Не требуется</w:t>
            </w:r>
            <w:r>
              <w:rPr>
                <w:rFonts w:eastAsia="Calibri"/>
                <w:color w:val="000000"/>
                <w:lang w:eastAsia="zh-CN"/>
              </w:rPr>
            </w:r>
            <w:r>
              <w:rPr>
                <w:rFonts w:eastAsia="Calibri"/>
                <w:color w:val="000000"/>
                <w:lang w:eastAsia="zh-CN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 w:right="113" w:firstLine="284" w:left="57"/>
              <w:jc w:val="both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</w:r>
            <w:r>
              <w:rPr>
                <w:b/>
                <w:highlight w:val="yellow"/>
              </w:rPr>
            </w:r>
            <w:r>
              <w:rPr>
                <w:b/>
                <w:highlight w:val="yellow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10.2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Перечень документов (копий документов), подт</w:t>
            </w:r>
            <w:r>
              <w:rPr>
                <w:rFonts w:eastAsia="Calibri"/>
                <w:b/>
                <w:bCs/>
              </w:rPr>
              <w:t xml:space="preserve">верждающих соответствие товара, работы или услуги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товару, работе или услуге </w:t>
            </w:r>
            <w:r>
              <w:t xml:space="preserve">(с учетом п.10, п.14 </w:t>
            </w:r>
            <w:r>
              <w:rPr>
                <w:b/>
              </w:rPr>
              <w:t xml:space="preserve">Инструкции по заполнению заявки на участие в закупке</w:t>
            </w:r>
            <w:r>
              <w:t xml:space="preserve">  настоящего приложения к извещению)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 w14:paraId="785EA1A1"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color w:val="000000"/>
                <w:lang w:eastAsia="zh-CN"/>
              </w:rPr>
            </w:pPr>
            <w:r>
              <w:rPr>
                <w:rFonts w:eastAsia="Calibri"/>
                <w:color w:val="000000"/>
                <w:lang w:eastAsia="zh-CN"/>
              </w:rPr>
              <w:t xml:space="preserve">Не требуется</w:t>
            </w:r>
            <w:r>
              <w:rPr>
                <w:rFonts w:eastAsia="Calibri"/>
                <w:color w:val="000000"/>
                <w:lang w:eastAsia="zh-CN"/>
              </w:rPr>
            </w:r>
            <w:r>
              <w:rPr>
                <w:rFonts w:eastAsia="Calibri"/>
                <w:color w:val="000000"/>
                <w:lang w:eastAsia="zh-CN"/>
              </w:rPr>
            </w:r>
          </w:p>
          <w:p>
            <w:pPr>
              <w:pStyle w:val="727"/>
              <w:widowControl w:val="false"/>
              <w:spacing w:after="0" w:before="0"/>
              <w:ind w:right="113" w:firstLine="284" w:left="57"/>
              <w:contextualSpacing w:val="true"/>
              <w:jc w:val="both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</w:r>
            <w:r>
              <w:rPr>
                <w:b/>
                <w:highlight w:val="yellow"/>
              </w:rPr>
            </w:r>
            <w:r>
              <w:rPr>
                <w:b/>
                <w:highlight w:val="yellow"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 w:right="113" w:firstLine="284" w:left="57"/>
              <w:jc w:val="both"/>
              <w:rPr>
                <w:rFonts w:eastAsia="Calibri"/>
                <w:color w:val="000000"/>
                <w:highlight w:val="yellow"/>
                <w:lang w:eastAsia="zh-CN"/>
              </w:rPr>
            </w:pPr>
            <w:r>
              <w:rPr>
                <w:rFonts w:eastAsia="Calibri"/>
                <w:color w:val="000000"/>
                <w:highlight w:val="yellow"/>
                <w:lang w:eastAsia="zh-CN"/>
              </w:rPr>
            </w:r>
            <w:r>
              <w:rPr>
                <w:rFonts w:eastAsia="Calibri"/>
                <w:color w:val="000000"/>
                <w:highlight w:val="yellow"/>
                <w:lang w:eastAsia="zh-CN"/>
              </w:rPr>
            </w:r>
            <w:r>
              <w:rPr>
                <w:rFonts w:eastAsia="Calibri"/>
                <w:color w:val="000000"/>
                <w:highlight w:val="yellow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10.3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lang w:eastAsia="zh-CN"/>
              </w:rPr>
              <w:t xml:space="preserve">Перечень документов (копий документов), подтверждающих н</w:t>
            </w:r>
            <w:r>
              <w:t xml:space="preserve">аличие финансовых, материальных средств, а также иных возможностей (ресурсов), необходимых для обеспечения надлежащего и качественного исполнения договора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color w:val="000000"/>
                <w:lang w:eastAsia="zh-CN"/>
              </w:rPr>
            </w:pPr>
            <w:r>
              <w:rPr>
                <w:rFonts w:eastAsia="Calibri"/>
                <w:color w:val="000000"/>
                <w:lang w:eastAsia="zh-CN"/>
              </w:rPr>
              <w:t xml:space="preserve">Не требуется</w:t>
            </w:r>
            <w:r>
              <w:rPr>
                <w:rFonts w:eastAsia="Calibri"/>
                <w:color w:val="000000"/>
                <w:lang w:eastAsia="zh-CN"/>
              </w:rPr>
            </w:r>
            <w:r>
              <w:rPr>
                <w:rFonts w:eastAsia="Calibri"/>
                <w:color w:val="000000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10.4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rPr>
                <w:rFonts w:eastAsia="Calibri"/>
                <w:lang w:eastAsia="zh-CN"/>
              </w:rPr>
              <w:t xml:space="preserve">Перечень документов (копий документов), подтверждающих </w:t>
            </w:r>
            <w:r>
              <w:t xml:space="preserve">положительную деловую репутацию выполнения работ или оказания услуг</w:t>
            </w:r>
            <w:r/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color w:val="000000"/>
                <w:lang w:eastAsia="zh-CN"/>
              </w:rPr>
            </w:pPr>
            <w:r>
              <w:rPr>
                <w:rFonts w:eastAsia="Calibri"/>
                <w:color w:val="000000"/>
                <w:lang w:eastAsia="zh-CN"/>
              </w:rPr>
              <w:t xml:space="preserve">Не требуется</w:t>
            </w:r>
            <w:r>
              <w:rPr>
                <w:rFonts w:eastAsia="Calibri"/>
                <w:color w:val="000000"/>
                <w:lang w:eastAsia="zh-CN"/>
              </w:rPr>
            </w:r>
            <w:r>
              <w:rPr>
                <w:rFonts w:eastAsia="Calibri"/>
                <w:color w:val="000000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10.5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lang w:eastAsia="zh-CN"/>
              </w:rPr>
              <w:t xml:space="preserve">Перечень документов (копий документов), подтверждающих </w:t>
            </w:r>
            <w:r>
              <w:t xml:space="preserve">наличие опыта выполнения работ или оказания услуг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color w:val="000000"/>
                <w:lang w:eastAsia="zh-CN"/>
              </w:rPr>
            </w:pPr>
            <w:r>
              <w:rPr>
                <w:rFonts w:eastAsia="Calibri"/>
                <w:color w:val="000000"/>
                <w:lang w:eastAsia="zh-CN"/>
              </w:rPr>
              <w:t xml:space="preserve">Не требуется</w:t>
            </w:r>
            <w:r>
              <w:rPr>
                <w:rFonts w:eastAsia="Calibri"/>
                <w:color w:val="000000"/>
                <w:lang w:eastAsia="zh-CN"/>
              </w:rPr>
            </w:r>
            <w:r>
              <w:rPr>
                <w:rFonts w:eastAsia="Calibri"/>
                <w:color w:val="000000"/>
                <w:lang w:eastAsia="zh-CN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/>
                <w:bCs/>
              </w:rPr>
              <w:t xml:space="preserve">Размер обеспечения заявки на участие</w:t>
            </w:r>
            <w:r>
              <w:rPr>
                <w:rFonts w:eastAsia="Calibri"/>
                <w:bCs/>
              </w:rPr>
              <w:t xml:space="preserve"> в закупке, срок и порядок его предоставления участником закупки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 w:after="0" w:before="0"/>
              <w:ind w:right="113" w:firstLine="284" w:left="57"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 w:after="0" w:before="0"/>
              <w:ind w:right="113" w:firstLine="284" w:left="57"/>
              <w:contextualSpacing w:val="true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Размер обеспечения исполнения договора, срок и порядок его предоставления, срок и порядок его возврата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 w14:paraId="184AEE49">
            <w:pPr>
              <w:pStyle w:val="727"/>
              <w:widowControl w:val="false"/>
              <w:spacing w:after="0" w:before="0"/>
              <w:ind w:right="113" w:firstLine="284" w:left="57"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 w:after="0" w:before="0"/>
              <w:ind w:right="113" w:firstLine="284" w:left="57"/>
              <w:contextualSpacing w:val="true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/>
              <w:ind w:right="135" w:firstLine="0" w:left="136"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rPr>
                <w:b/>
              </w:rPr>
              <w:t xml:space="preserve">Применение антидемпинговых мер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Не установлены.</w:t>
            </w:r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Реквизиты счета для внесения денежных средств в качестве обеспечения заявки на участие в закупке в виде залога денежных средств (пункт применяется в случае, если в п. 11 приложения №1 настоящего извещения установлен размер обеспечения заявки)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Для подачи заявок на участие в закупке необходимо перечислить денежные средства в размере обеспечения заявки на виртуальный счёт участника, открытый на площадке в соответствии с регламентом работы электронной площадки, указанной в извещении</w:t>
            </w:r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Реквизиты счета для внесения денежных средств в случаях: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</w:rPr>
            </w:pPr>
            <w:r>
              <w:rPr>
                <w:b/>
              </w:rPr>
              <w:t xml:space="preserve">- обеспечения исполнения договора в виде залога денежных средств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b/>
                <w:strike/>
              </w:rPr>
            </w:pPr>
            <w:r>
              <w:rPr>
                <w:b/>
              </w:rPr>
              <w:t xml:space="preserve">- для перечисления денежных средств внесенных в качестве обеспечения заявок, в случае уклонения участника от заключения договора или отказа участника закупки заключить договор</w:t>
            </w:r>
            <w:r>
              <w:rPr>
                <w:b/>
                <w:strike/>
              </w:rPr>
            </w:r>
            <w:r>
              <w:rPr>
                <w:b/>
                <w:strike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 w14:paraId="184AEE49">
            <w:pPr>
              <w:pStyle w:val="727"/>
              <w:widowControl w:val="false"/>
              <w:spacing w:after="0" w:before="0"/>
              <w:ind w:right="113" w:firstLine="284" w:left="57"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7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 w:right="113" w:firstLine="284" w:left="57"/>
              <w:jc w:val="both"/>
              <w:rPr>
                <w:rFonts w:eastAsia="Calibri"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Сведения о </w:t>
            </w:r>
            <w:r>
              <w:t xml:space="preserve">запрете, ограничении </w:t>
            </w:r>
            <w:r>
              <w:rPr>
                <w:rFonts w:eastAsia="Calibri"/>
              </w:rPr>
              <w:t xml:space="preserve">закупок товаров</w:t>
            </w:r>
            <w:r>
              <w:t xml:space="preserve">, </w:t>
            </w:r>
            <w:r>
              <w:rPr>
                <w:rFonts w:eastAsia="Calibri"/>
              </w:rPr>
              <w:t xml:space="preserve">(в том числе поставляемых при выполнении закупаемых работ, оказании закупаемых услуг), происходящих из иностранных государств</w:t>
            </w:r>
            <w:r>
              <w:rPr>
                <w:rFonts w:eastAsia="Calibri"/>
              </w:rPr>
              <w:t xml:space="preserve">, работ, услуг, соответственно выполняемых, оказываемых иностранными лицами, сведения о преимуществе в отношении товаров российского происхождения (в том числе поставляемых при выполнении закупаемых работ, оказании закупаемых услуг), в разделе V настоящего</w:t>
            </w:r>
            <w:r>
              <w:rPr>
                <w:rFonts w:eastAsia="Calibri"/>
                <w:lang w:eastAsia="en-US"/>
              </w:rPr>
              <w:t xml:space="preserve"> приложения к извещению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/>
              <w:rPr>
                <w:highlight w:val="none"/>
              </w:rPr>
            </w:pPr>
            <w:r>
              <w:rPr>
                <w:rFonts w:eastAsia="Calibri"/>
                <w:b/>
                <w:bCs/>
                <w:highlight w:val="none"/>
              </w:rPr>
              <w:t xml:space="preserve">16.1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hd w:val="clear" w:color="auto" w:fill="ffffff"/>
              <w:spacing/>
              <w:ind/>
              <w:jc w:val="both"/>
              <w:rPr>
                <w:i/>
                <w:sz w:val="20"/>
                <w:szCs w:val="20"/>
                <w:highlight w:val="none"/>
              </w:rPr>
            </w:pPr>
            <w:r>
              <w:rPr>
                <w:highlight w:val="none"/>
              </w:rPr>
              <w:t xml:space="preserve">информация и документы, определенные в соответствии с пунктом 2 части 2 статьи 3.1-4 Федерального закона № 223-ФЗ и пунктом 3 постановления Правительства Российской Федерац</w:t>
            </w:r>
            <w:r>
              <w:rPr>
                <w:highlight w:val="none"/>
              </w:rPr>
              <w:t xml:space="preserve">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</w:t>
            </w:r>
            <w:r>
              <w:rPr>
                <w:sz w:val="20"/>
                <w:szCs w:val="20"/>
                <w:highlight w:val="none"/>
              </w:rPr>
              <w:t xml:space="preserve">ПП РФ № 1875</w:t>
            </w:r>
            <w:r>
              <w:rPr>
                <w:highlight w:val="none"/>
              </w:rPr>
              <w:t xml:space="preserve">), подтверждающие </w:t>
            </w:r>
            <w:r>
              <w:rPr>
                <w:rFonts w:ascii="PT Serif" w:hAnsi="PT Serif" w:cs="PT Serif"/>
                <w:color w:val="22272f"/>
                <w:sz w:val="23"/>
                <w:szCs w:val="23"/>
                <w:highlight w:val="none"/>
                <w:shd w:val="clear" w:color="auto" w:fill="ffffff"/>
              </w:rPr>
              <w:t xml:space="preserve">страну происхождения товара</w:t>
            </w:r>
            <w:r>
              <w:rPr>
                <w:b/>
                <w:highlight w:val="none"/>
              </w:rPr>
              <w:t xml:space="preserve">:*</w:t>
            </w:r>
            <w:r>
              <w:rPr>
                <w:i/>
                <w:sz w:val="20"/>
                <w:szCs w:val="20"/>
                <w:highlight w:val="none"/>
              </w:rPr>
            </w:r>
            <w:r>
              <w:rPr>
                <w:i/>
                <w:sz w:val="20"/>
                <w:szCs w:val="20"/>
                <w:highlight w:val="none"/>
              </w:rPr>
            </w:r>
          </w:p>
          <w:p>
            <w:pPr>
              <w:pStyle w:val="727"/>
              <w:widowControl w:val="false"/>
              <w:shd w:val="clear" w:color="auto" w:fill="ffffff"/>
              <w:spacing/>
              <w:ind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sz w:val="20"/>
                <w:szCs w:val="20"/>
                <w:highlight w:val="none"/>
              </w:rPr>
              <w:t xml:space="preserve">*(данный пункт подлежит применению только в случае, если в извещении о закупке и (или) в разделе </w:t>
            </w:r>
            <w:r>
              <w:rPr>
                <w:i/>
                <w:sz w:val="20"/>
                <w:szCs w:val="20"/>
                <w:highlight w:val="none"/>
                <w:lang w:val="en-US"/>
              </w:rPr>
              <w:t xml:space="preserve">V</w:t>
            </w:r>
            <w:r>
              <w:rPr>
                <w:i/>
                <w:sz w:val="20"/>
                <w:szCs w:val="20"/>
                <w:highlight w:val="none"/>
              </w:rPr>
              <w:t xml:space="preserve"> настоящей документации</w:t>
            </w:r>
            <w:r>
              <w:rPr>
                <w:b/>
                <w:bCs/>
                <w:i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содержится информация об установлении и применении  ограничений и (или) запретов</w:t>
            </w:r>
            <w:r>
              <w:rPr>
                <w:i/>
                <w:sz w:val="20"/>
                <w:szCs w:val="20"/>
                <w:highlight w:val="none"/>
              </w:rPr>
              <w:t xml:space="preserve"> допуска иностранных товаров и услуг, и (или)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преимуществ</w:t>
            </w:r>
            <w:r>
              <w:rPr>
                <w:i/>
                <w:sz w:val="20"/>
                <w:szCs w:val="20"/>
                <w:highlight w:val="none"/>
              </w:rPr>
              <w:t xml:space="preserve"> товарам российского происхождения (</w:t>
            </w:r>
            <w:r>
              <w:rPr>
                <w:rFonts w:ascii="PT Serif" w:hAnsi="PT Serif" w:cs="PT Serif"/>
                <w:i/>
                <w:color w:val="22272f"/>
                <w:sz w:val="20"/>
                <w:szCs w:val="20"/>
                <w:highlight w:val="none"/>
                <w:shd w:val="clear" w:color="auto" w:fill="ffffff"/>
              </w:rPr>
              <w:t xml:space="preserve">в том числе поставляемых при выполнении закупаемых работ, оказании закупаемых услуг)</w:t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7"/>
              <w:widowControl w:val="false"/>
              <w:shd w:val="clear" w:color="auto" w:fill="ffffff"/>
              <w:spacing/>
              <w:ind w:firstLine="567"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7"/>
              <w:widowControl w:val="false"/>
              <w:spacing/>
              <w:ind/>
              <w:jc w:val="both"/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b/>
                <w:bCs/>
                <w:highlight w:val="none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а) Для подтверждения страны происхождения тех товаров, по которым </w:t>
            </w:r>
            <w:r>
              <w:rPr>
                <w:b/>
                <w:bCs/>
                <w:sz w:val="28"/>
                <w:szCs w:val="28"/>
              </w:rPr>
              <w:t xml:space="preserve">в извещении о закупке и (или)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в разделе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V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настоящей документации установлен и применяется </w:t>
            </w:r>
            <w:r>
              <w:rPr>
                <w:b/>
                <w:bCs/>
                <w:color w:val="c9211e"/>
                <w:sz w:val="28"/>
                <w:szCs w:val="28"/>
              </w:rPr>
              <w:t xml:space="preserve">ЗАПРЕТ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50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426"/>
              <w:gridCol w:w="4339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jc w:val="center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Продукция,                     включенная                               в объект закупки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ПРОМЫШЛЕННЫЕ ТОВАРЫ из позиций 1–145 приложения № 1 к 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(подп. 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а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и 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б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 w:after="0" w:before="300"/>
                    <w:ind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 </w:t>
                  </w:r>
                  <w:r>
                    <w:rPr>
                      <w:b/>
                      <w:i/>
                      <w:color w:val="c9211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color w:val="000000"/>
                    </w:rPr>
                    <w:t xml:space="preserve">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предусмотренного </w:t>
                  </w:r>
                  <w:hyperlink r:id="rId19" w:tooltip="https://login.consultant.ru/link/?req=doc&amp;base=LAW&amp;n=505888&amp;dst=225&amp;field=134&amp;date=05.09.2025" w:history="1">
                    <w:r>
                      <w:rPr>
                        <w:rStyle w:val="856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</w:rPr>
                    <w:t xml:space="preserve">и справка</w:t>
                  </w:r>
                  <w:r>
                    <w:rPr>
                      <w:color w:val="000000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20" w:tooltip="https://login.consultant.ru/link/?req=doc&amp;base=LAW&amp;n=511948&amp;dst=1170&amp;field=134&amp;date=05.09.2025" w:history="1">
                    <w:r>
                      <w:rPr>
                        <w:rStyle w:val="856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</w:rPr>
                    <w:t xml:space="preserve">содержащей</w:t>
                  </w:r>
                  <w:r>
                    <w:rPr>
                      <w:color w:val="000000"/>
                    </w:rPr>
                    <w:t xml:space="preserve"> в том числе: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1002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b/>
                      <w:bCs/>
                      <w:lang w:val="ru-RU"/>
                    </w:rPr>
                    <w:t xml:space="preserve">- информацию о совокупном количестве баллов</w:t>
                  </w:r>
                  <w:r>
                    <w:rPr>
                      <w:lang w:val="ru-RU"/>
                    </w:rPr>
                    <w:t xml:space="preserve"> за выполнение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</w:t>
                  </w:r>
                  <w:r>
                    <w:t xml:space="preserve">N</w:t>
                  </w:r>
                  <w:r>
                    <w:rPr>
                      <w:lang w:val="ru-RU"/>
                    </w:rPr>
                    <w:t xml:space="preserve"> 719 для целей осуществления закупок </w:t>
                  </w:r>
                  <w:r>
                    <w:rPr>
                      <w:lang w:val="ru-RU" w:eastAsia="ru-RU"/>
                    </w:rPr>
                    <w:t xml:space="preserve">  (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b/>
                      <w:i/>
                      <w:sz w:val="20"/>
                      <w:szCs w:val="20"/>
                      <w:lang w:val="ru-RU" w:eastAsia="ru-RU"/>
                    </w:rPr>
                    <w:t xml:space="preserve">только 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b/>
                      <w:i/>
                      <w:sz w:val="20"/>
                      <w:szCs w:val="20"/>
                      <w:lang w:val="ru-RU" w:eastAsia="ru-RU"/>
                    </w:rPr>
                    <w:t xml:space="preserve">в разделе  «Примечания» Приложения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  к  постановлению Правительства Российской Федераци</w:t>
                  </w:r>
                  <w:r>
                    <w:rPr>
                      <w:i/>
                      <w:sz w:val="20"/>
                      <w:szCs w:val="20"/>
                      <w:lang w:val="ru-RU" w:eastAsia="ru-RU"/>
                    </w:rPr>
                    <w:t xml:space="preserve">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             установлены требования о совокупном количестве баллов)</w:t>
                  </w:r>
                  <w:r>
                    <w:rPr>
                      <w:b/>
                      <w:i/>
                      <w:sz w:val="20"/>
                      <w:szCs w:val="20"/>
                      <w:lang w:val="ru-RU" w:eastAsia="ru-RU"/>
                    </w:rPr>
                    <w:t xml:space="preserve">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jc w:val="both"/>
                    <w:rPr>
                      <w:b/>
                      <w:bCs/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         </w:t>
                  </w:r>
                  <w:r>
                    <w:rPr>
                      <w:i/>
                      <w:iCs/>
                      <w:lang w:eastAsia="ru-RU"/>
                    </w:rPr>
                    <w:t xml:space="preserve">-  при осуществлении закупок до   31 декабря 2026 г. товаров, указанных в </w:t>
                  </w:r>
                  <w:hyperlink r:id="rId21" w:tooltip="https://login.consultant.ru/link/?req=doc&amp;base=LAW&amp;n=513601&amp;dst=100704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позиции 139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приложения № 1  (Аппараты ИВЛ код НКМИ 232870, 232890), в случае если  реестровая запись в реестре РПП на такой товар сформирована по 10 октября 2023 г включительно.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          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30 ноября 2026 г. товаров из числа чехлов трикотажных на культи верхних и нижних конечностей, включенных в </w:t>
                  </w:r>
                  <w:hyperlink r:id="rId22" w:tooltip="https://login.consultant.ru/link/?req=doc&amp;base=LAW&amp;n=538739&amp;dst=110159&amp;field=134&amp;date=10.08.2026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код 14.3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подгузников для взрослых и детей, урологических прокладок, впитывающих простыней (пеленок), включенных в </w:t>
                  </w:r>
                  <w:hyperlink r:id="rId23" w:tooltip="https://login.consultant.ru/link/?req=doc&amp;base=LAW&amp;n=538739&amp;dst=111639&amp;field=134&amp;date=10.08.2026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код 17.22.12.120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медицинских изделий из числа товаров, включенных в позиции 2 и 3, товаров, указанных в позициях 16 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и 17, медицинских изделий из числа товаров, включенных в позицию 137, товаров, указанных в позициях 140, 141 и 144 приложения N 1,  в случае если  реестровые записи в реестре российской промышленной продукции на такие товары сформированы по 30 июня 2026 г.</w:t>
                  </w:r>
                  <w:r>
                    <w:rPr>
                      <w:bCs/>
                      <w:i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Для товаров из </w:t>
                  </w:r>
                  <w:r>
                    <w:rPr>
                      <w:b/>
                      <w:bCs/>
                      <w:i/>
                      <w:color w:val="c9211e"/>
                    </w:rPr>
                    <w:t xml:space="preserve">государств - членов Евразийского экономического союза,</w:t>
                  </w:r>
                  <w:r>
                    <w:rPr>
                      <w:i/>
                      <w:color w:val="c9211e"/>
                    </w:rPr>
                    <w:t xml:space="preserve"> </w:t>
                  </w:r>
                  <w:r>
                    <w:rPr>
                      <w:b/>
                      <w:bCs/>
                      <w:i/>
                      <w:color w:val="c9211e"/>
                    </w:rPr>
                    <w:t xml:space="preserve">за исключением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30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  <w:bCs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информацию о совокупном количестве баллов</w:t>
                  </w:r>
                  <w: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1  к постановлению Прав</w:t>
                  </w:r>
                  <w:r>
                    <w:rPr>
                      <w:i/>
                      <w:iCs/>
                      <w:color w:val="000000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</w:rPr>
                    <w:t xml:space="preserve"> - члена Евразийского экономического союза по форме, установленной </w:t>
                  </w:r>
                  <w:hyperlink r:id="rId24" w:tooltip="https://login.consultant.ru/link/?req=doc&amp;base=LAW&amp;n=451182&amp;dst=100024&amp;field=134&amp;date=03.09.2025" w:history="1">
                    <w:r>
                      <w:rPr>
                        <w:rStyle w:val="856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25" w:tooltip="https://login.consultant.ru/link/?req=doc&amp;base=LAW&amp;n=451182&amp;dst=100024&amp;field=134&amp;date=03.09.2025" w:history="1">
                    <w:r>
                      <w:rPr>
                        <w:rStyle w:val="856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товаров.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240"/>
                    <w:ind w:firstLine="540"/>
                    <w:jc w:val="both"/>
                    <w:rPr>
                      <w:strike/>
                      <w:sz w:val="20"/>
                      <w:szCs w:val="20"/>
                      <w:highlight w:val="none"/>
                    </w:rPr>
                  </w:pPr>
                  <w:r>
                    <w:rPr>
                      <w:strike/>
                      <w:sz w:val="20"/>
                      <w:szCs w:val="20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ПРОГРАММНОЕ ОБЕСПЕЧЕНИЕ (позиция146 перечня № 1)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 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г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»–«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ж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з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его соответствия требованиям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, установленным </w:t>
                  </w:r>
                  <w:r>
                    <w:fldChar w:fldCharType="begin"/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"/document/411824730/entry/237"</w:instrText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частями 3</w:t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7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</w:t>
                  </w:r>
                  <w:r>
                    <w:fldChar w:fldCharType="begin"/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"/document/411824730/entry/239"</w:instrText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3</w:t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9</w:t>
                  </w:r>
                  <w:r>
                    <w:rPr>
                      <w:rStyle w:val="903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 статьи 2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 Федерального закона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"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О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внесении изменений в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Федеральный закон "О безопасности критической информационной инфраструктуры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" (далее - требования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обеспечению;</w:t>
                    <w:br/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из государств - членов Евразийского экономического союза, за исключением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,             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</w:t>
                  </w:r>
                  <w:hyperlink r:id="rId26" w:tooltip="https://login.consultant.ru/link/?req=doc&amp;base=LAW&amp;n=301290&amp;dst=100017&amp;field=134&amp;date=03.02.2026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к доверенному программному обеспечению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</w:t>
                  </w:r>
                  <w:hyperlink r:id="rId27" w:tooltip="https://login.consultant.ru/link/?req=doc&amp;base=LAW&amp;n=301290&amp;dst=100017&amp;field=134&amp;date=03.02.2026" w:history="1">
                    <w:r>
                      <w:rPr>
                        <w:rStyle w:val="903"/>
                        <w:rFonts w:eastAsia="Times New Roman" w:cs="Times New Roman"/>
                        <w:i/>
                        <w:iCs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 к доверенному программному обеспечению.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eastAsia="Times New Roman"/>
                      <w:i/>
                      <w:iCs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  <w:lang w:eastAsia="ru-RU"/>
                    </w:rPr>
                    <w:t xml:space="preserve">Участник закупки вправе не предоставить указанную информацию только в случае, если в извещении об осуществлении закупки (в описании объекта закупки) отсутствует описание поставляемого (используемого) программного обеспечения</w:t>
                  </w:r>
                  <w:r>
                    <w:rPr>
                      <w:rFonts w:eastAsia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а также в случае указания заказчиком в описании объекта закупки конкретного программного обеспечения без возможности поставки  эквивалента.</w:t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РЫБНАЯ  И РАКООБРАЗНАЯ ПРОДУКЦИЯ (позиции 152-154 перечня № 1)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28" w:tooltip="https://login.consultant.ru/link/?req=doc&amp;base=LAW&amp;n=524024&amp;dst=137&amp;field=134&amp;date=06.07.2026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29" w:tooltip="https://login.consultant.ru/link/?req=doc&amp;base=LAW&amp;n=524024&amp;dst=143&amp;field=134&amp;date=06.07.2026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Российской Федерации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подлежит представлению заказчику предусмотренный извещением об осуществлении закупки, условиями контракта 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сопроводительный документ, установленный в соответствии с </w:t>
                  </w:r>
                  <w:hyperlink r:id="rId30" w:tooltip="https://login.consultant.ru/link/?req=doc&amp;base=LAW&amp;n=523307&amp;dst=478&amp;field=134&amp;date=06.07.2026" w:history="1">
                    <w:r>
                      <w:rPr>
                        <w:rStyle w:val="903"/>
                        <w:rFonts w:eastAsia="Times New Roman" w:cs="Times New Roman"/>
                        <w:b/>
                        <w:bCs/>
                        <w:i/>
                        <w:iCs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Законом</w:t>
                    </w:r>
                  </w:hyperlink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 Российской Федерации "О ветеринарии" ветеринарными правилами организации работы по оформлению ветеринарных сопроводительных документов;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31" w:tooltip="https://login.consultant.ru/link/?req=doc&amp;base=LAW&amp;n=524024&amp;dst=137&amp;field=134&amp;date=06.07.2026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32" w:tooltip="https://login.consultant.ru/link/?req=doc&amp;base=LAW&amp;n=524024&amp;dst=143&amp;field=134&amp;date=06.07.2026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государств - членов Евразийского экономического союза, за исключением Российской Федерации,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подлежит представлению заказчику  предусмотренный извещением об осуществлении закупки, условиями контракта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сертификат, выдаваемый в соответствии с актами, составляющими право Евразийского экономического союза.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Товары из стран ЕАЭС, не указанные в позициях 1–146 перечня № 1                        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подп. «з»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Иностранный товар, кроме стран 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подп. «з»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 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 w:firstLine="432"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товара, , </w:t>
                  </w:r>
                  <w:r>
                    <w:rPr>
                      <w:i/>
                    </w:rPr>
                    <w:t xml:space="preserve">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2"/>
                      <w:i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  <w:i/>
                    </w:rPr>
                    <w:fldChar w:fldCharType="separate"/>
                  </w:r>
                  <w:r>
                    <w:rPr>
                      <w:rStyle w:val="772"/>
                      <w:i/>
                    </w:rPr>
                    <w:t xml:space="preserve">пункте 3</w:t>
                  </w:r>
                  <w:r>
                    <w:rPr>
                      <w:rStyle w:val="772"/>
                      <w:i/>
                    </w:rPr>
                    <w:fldChar w:fldCharType="end"/>
                  </w:r>
                  <w:r>
                    <w:rPr>
                      <w:i/>
                    </w:rPr>
                    <w:t xml:space="preserve"> Постановления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7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7"/>
              <w:widowControl w:val="false"/>
              <w:tabs>
                <w:tab w:val="clear" w:leader="none" w:pos="708"/>
                <w:tab w:val="left" w:leader="none" w:pos="1020"/>
              </w:tabs>
              <w:spacing/>
              <w:ind w:firstLine="567"/>
              <w:jc w:val="both"/>
              <w:rPr>
                <w:b/>
                <w:bCs/>
                <w:highlight w:val="none"/>
              </w:rPr>
            </w:pPr>
            <w:r>
              <w:rPr>
                <w:b/>
                <w:color w:val="000000"/>
              </w:rPr>
              <w:t xml:space="preserve">б) Для подтверждения страны происхождения тех товаров,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</w:t>
            </w:r>
            <w:r>
              <w:rPr>
                <w:b/>
                <w:color w:val="000000"/>
              </w:rPr>
              <w:t xml:space="preserve">установлено и применяется </w:t>
            </w:r>
            <w:r>
              <w:rPr>
                <w:b/>
                <w:color w:val="c9211e"/>
              </w:rPr>
              <w:t xml:space="preserve">ОГРАНИЧЕНИЕ</w:t>
            </w:r>
            <w:r>
              <w:rPr>
                <w:b/>
                <w:color w:val="000000"/>
              </w:rPr>
              <w:t xml:space="preserve"> 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49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4083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ПРОМЫШЛЕННЫЕ ТОВАРЫ,                          В Т.Ч. РАДИОЭЛЕКТРОННАЯ ПРОДУКЦИЯ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 И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МЕДИЦИНСКИЕ ИЗДЕЛИЯ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(товары из позиций 1–399, 416-428 приложения № 2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(подп. 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а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и 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б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 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б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«в» и «</w:t>
                  </w:r>
                  <w:r>
                    <w:fldChar w:fldCharType="begin"/>
                  </w:r>
                  <w:r>
                    <w:rPr>
                      <w:rStyle w:val="772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</w:rPr>
                    <w:fldChar w:fldCharType="separate"/>
                  </w:r>
                  <w:r>
                    <w:rPr>
                      <w:rStyle w:val="772"/>
                    </w:rPr>
                    <w:t xml:space="preserve">г</w:t>
                  </w:r>
                  <w:r>
                    <w:rPr>
                      <w:rStyle w:val="772"/>
                    </w:rPr>
                    <w:fldChar w:fldCharType="end"/>
                  </w:r>
                  <w:r>
                    <w:t xml:space="preserve">» п. 10 ПП РФ № 1875)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предусмотренного </w:t>
                  </w:r>
                  <w:hyperlink r:id="rId33" w:tooltip="https://login.consultant.ru/link/?req=doc&amp;base=LAW&amp;n=505888&amp;dst=225&amp;field=134&amp;date=05.09.2025" w:history="1">
                    <w:r>
                      <w:rPr>
                        <w:rStyle w:val="856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</w:rPr>
                    <w:t xml:space="preserve">и справка</w:t>
                  </w:r>
                  <w:r>
                    <w:rPr>
                      <w:color w:val="000000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34" w:tooltip="https://login.consultant.ru/link/?req=doc&amp;base=LAW&amp;n=511948&amp;dst=1170&amp;field=134&amp;date=05.09.2025" w:history="1">
                    <w:r>
                      <w:rPr>
                        <w:rStyle w:val="856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300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b/>
                      <w:bCs/>
                      <w:color w:val="000000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</w:rPr>
                    <w:t xml:space="preserve">содержащей</w:t>
                  </w:r>
                  <w:r>
                    <w:rPr>
                      <w:color w:val="000000"/>
                    </w:rPr>
                    <w:t xml:space="preserve"> в том числе: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240"/>
                    <w:ind w:firstLine="540"/>
                    <w:jc w:val="both"/>
                    <w:rPr>
                      <w:b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bCs/>
                      <w:lang w:eastAsia="ru-RU"/>
                    </w:rPr>
                    <w:t xml:space="preserve">- информацию о совокупном количестве баллов</w:t>
                  </w:r>
                  <w:r>
                    <w:rPr>
                      <w:lang w:eastAsia="ru-RU"/>
                    </w:rPr>
                    <w:t xml:space="preserve"> за выполнение (освоение) на территории Российской</w:t>
                  </w:r>
                  <w:r>
                    <w:rPr>
                      <w:lang w:eastAsia="ru-RU"/>
                    </w:rPr>
                    <w:t xml:space="preserve">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N 719 для целей осуществления закупок                                              (</w:t>
                  </w:r>
                  <w:r>
                    <w:rPr>
                      <w:i/>
                      <w:sz w:val="20"/>
                      <w:szCs w:val="20"/>
                      <w:lang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  <w:t xml:space="preserve">только </w:t>
                  </w:r>
                  <w:r>
                    <w:rPr>
                      <w:i/>
                      <w:sz w:val="20"/>
                      <w:szCs w:val="20"/>
                      <w:lang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  <w:t xml:space="preserve">в разделе  «Примечания» Приложения</w:t>
                  </w:r>
                  <w:r>
                    <w:rPr>
                      <w:i/>
                      <w:sz w:val="20"/>
                      <w:szCs w:val="20"/>
                      <w:lang w:eastAsia="ru-RU"/>
                    </w:rPr>
                    <w:t xml:space="preserve">  к  постановлению Правительства Российской Федераци</w:t>
                  </w:r>
                  <w:r>
                    <w:rPr>
                      <w:i/>
                      <w:sz w:val="20"/>
                      <w:szCs w:val="20"/>
                      <w:lang w:eastAsia="ru-RU"/>
                    </w:rPr>
                    <w:t xml:space="preserve">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             установлены требования о совокупном количестве баллов)</w:t>
                  </w: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  <w:t xml:space="preserve">.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line="288" w:lineRule="atLeast"/>
                    <w:ind w:firstLine="540"/>
                    <w:jc w:val="both"/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  <w:t xml:space="preserve">(</w:t>
                  </w:r>
                  <w:r>
                    <w:rPr>
                      <w:i/>
                      <w:iCs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 </w:t>
                  </w:r>
                  <w:r>
                    <w:rPr>
                      <w:i/>
                      <w:iCs/>
                      <w:lang w:eastAsia="ru-RU"/>
                    </w:rPr>
                    <w:t xml:space="preserve">- при осуществлении закупок до   31 декабря 2026 г. товаров, указанных в </w:t>
                  </w:r>
                  <w:hyperlink r:id="rId35" w:tooltip="https://login.consultant.ru/link/?req=doc&amp;base=LAW&amp;n=513601&amp;dst=10156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позициях 273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6" w:tooltip="https://login.consultant.ru/link/?req=doc&amp;base=LAW&amp;n=513601&amp;dst=10157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276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7" w:tooltip="https://login.consultant.ru/link/?req=doc&amp;base=LAW&amp;n=513601&amp;dst=101635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297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38" w:tooltip="https://login.consultant.ru/link/?req=doc&amp;base=LAW&amp;n=513601&amp;dst=101641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9" w:tooltip="https://login.consultant.ru/link/?req=doc&amp;base=LAW&amp;n=513601&amp;dst=10165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0" w:tooltip="https://login.consultant.ru/link/?req=doc&amp;base=LAW&amp;n=513601&amp;dst=10166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1" w:tooltip="https://login.consultant.ru/link/?req=doc&amp;base=LAW&amp;n=513601&amp;dst=10167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2" w:tooltip="https://login.consultant.ru/link/?req=doc&amp;base=LAW&amp;n=513601&amp;dst=10168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3" w:tooltip="https://login.consultant.ru/link/?req=doc&amp;base=LAW&amp;n=513601&amp;dst=10168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4" w:tooltip="https://login.consultant.ru/link/?req=doc&amp;base=LAW&amp;n=513601&amp;dst=101694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5" w:tooltip="https://login.consultant.ru/link/?req=doc&amp;base=LAW&amp;n=513601&amp;dst=101700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318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6" w:tooltip="https://login.consultant.ru/link/?req=doc&amp;base=LAW&amp;n=513601&amp;dst=10170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320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7" w:tooltip="https://login.consultant.ru/link/?req=doc&amp;base=LAW&amp;n=513601&amp;dst=10174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334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8" w:tooltip="https://login.consultant.ru/link/?req=doc&amp;base=LAW&amp;n=513601&amp;dst=10180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354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и </w:t>
                  </w:r>
                  <w:hyperlink r:id="rId49" w:tooltip="https://login.consultant.ru/link/?req=doc&amp;base=LAW&amp;n=513601&amp;dst=10189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382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приложения N 2  (томографы, электрокардиографы, дефибрилляторы, хирургические или лабораторные стерилизаторы, лазерные терапевтические аппараты), в случае если  реестровая запись в реестре</w:t>
                  </w:r>
                  <w:r>
                    <w:rPr>
                      <w:i/>
                      <w:iCs/>
                      <w:color w:val="000000"/>
                    </w:rPr>
                    <w:t xml:space="preserve"> российской промышленной продукции</w:t>
                  </w:r>
                  <w:r>
                    <w:rPr>
                      <w:i/>
                      <w:iCs/>
                      <w:lang w:eastAsia="ru-RU"/>
                    </w:rPr>
                    <w:t xml:space="preserve"> на такие товары сформирована по 10 октября 2023 г;.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930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31 августа 2026 г.  товаров, указанных в </w:t>
                  </w:r>
                  <w:hyperlink r:id="rId50" w:tooltip="https://login.consultant.ru/link/?req=doc&amp;base=LAW&amp;n=513601&amp;dst=10135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позициях 205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1" w:tooltip="https://login.consultant.ru/link/?req=doc&amp;base=LAW&amp;n=513601&amp;dst=101374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210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2" w:tooltip="https://login.consultant.ru/link/?req=doc&amp;base=LAW&amp;n=513601&amp;dst=101383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213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3" w:tooltip="https://login.consultant.ru/link/?req=doc&amp;base=LAW&amp;n=513601&amp;dst=101440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232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4" w:tooltip="https://login.consultant.ru/link/?req=doc&amp;base=LAW&amp;n=513601&amp;dst=10144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5" w:tooltip="https://login.consultant.ru/link/?req=doc&amp;base=LAW&amp;n=513601&amp;dst=10146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6" w:tooltip="https://login.consultant.ru/link/?req=doc&amp;base=LAW&amp;n=513601&amp;dst=101488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248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7" w:tooltip="https://login.consultant.ru/link/?req=doc&amp;base=LAW&amp;n=513601&amp;dst=10149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251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приложения </w:t>
                  </w:r>
                  <w:r>
                    <w:rPr>
                      <w:i/>
                      <w:iCs/>
                      <w:lang w:eastAsia="ru-RU"/>
                    </w:rPr>
                    <w:t xml:space="preserve">N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2 к настоящему постановлению (средства связи, телефоны, сигнализация, телевизоры, микрофоны, громкоговорители, радиолокационная аппаратура), в случае если  реестровая запись в </w:t>
                  </w:r>
                  <w:r>
                    <w:rPr>
                      <w:i/>
                      <w:iCs/>
                      <w:color w:val="000000"/>
                      <w:lang w:val="ru-RU"/>
                    </w:rPr>
                    <w:t xml:space="preserve">реестр российской промышленной продукции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на такие товары сформирована по 10 августа 2025 г;</w:t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930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30 ноября 2026 г. медицинских изделий из числа товаров, включенных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в позицию 69, товаров, указанных в позициях 172 - 179, 189, 362 - 364, 366 - 378, 383 - 388, 390 - 415, 429 - 432 приложения N 2, в случае если  реестровая запись в реестре российской промышленной продукции на такие товары сформирована по 30 июня 2026 г.)</w:t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 w:firstLine="540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t xml:space="preserve">- </w:t>
                  </w:r>
                  <w:r>
                    <w:rPr>
                      <w:b/>
                      <w:bCs/>
                    </w:rPr>
                    <w:t xml:space="preserve">информацию об уровне радиоэлектронной продукции</w:t>
                  </w:r>
                  <w:r>
                    <w:t xml:space="preserve"> (для товара, являю</w:t>
                  </w:r>
                  <w:r>
                    <w:t xml:space="preserve">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 (</w:t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данная информация должна содержаться в реестровой записи только при закупке товаров, указанных в </w:t>
                  </w:r>
                  <w:r>
                    <w:fldChar w:fldCharType="begin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instrText xml:space="preserve"> HYPERLINK "https://garant.orb.ru/" \l "/document/411197447/entry/2195"</w:instrTex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separate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t xml:space="preserve">позициях 195</w: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end"/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, </w:t>
                  </w:r>
                  <w:r>
                    <w:fldChar w:fldCharType="begin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instrText xml:space="preserve"> HYPERLINK "https://garant.orb.ru/" \l "/document/411197447/entry/2197"</w:instrTex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separate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t xml:space="preserve">197 - 199</w: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end"/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 и </w:t>
                  </w:r>
                  <w:r>
                    <w:fldChar w:fldCharType="begin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instrText xml:space="preserve"> HYPERLINK "https://garant.orb.ru/" \l "/document/411197447/entry/2203"</w:instrTex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separate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t xml:space="preserve">203</w: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end"/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 приложения N 2 </w:t>
                  </w:r>
                  <w:r>
                    <w:rPr>
                      <w:b/>
                      <w:i/>
                    </w:rPr>
                    <w:t xml:space="preserve">ПП РФ № 1875</w:t>
                  </w:r>
                  <w:r>
                    <w:t xml:space="preserve">)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widowControl w:val="false"/>
                    <w:spacing/>
                    <w:ind w:firstLine="540"/>
                    <w:jc w:val="both"/>
                    <w:rPr>
                      <w14:ligatures w14:val="none"/>
                    </w:rPr>
                  </w:pPr>
                  <w:r>
                    <w:rPr>
                      <w:lang w:val="ru-RU" w:eastAsia="ru-RU" w:bidi="ar-SA"/>
                    </w:rPr>
                    <w:t xml:space="preserve">По 3</w:t>
                  </w:r>
                  <w:r>
                    <w:rPr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58" w:tooltip="https://login.consultant.ru/link/?req=doc&amp;base=LAW&amp;n=545313&amp;dst=322&amp;field=134&amp;date=02.10.2026" w:history="1">
                    <w:r>
                      <w:rPr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lang w:val="ru-RU" w:eastAsia="ru-RU" w:bidi="ar-SA"/>
                    </w:rPr>
                    <w:t xml:space="preserve"> - </w:t>
                  </w:r>
                  <w:hyperlink r:id="rId59" w:tooltip="https://login.consultant.ru/link/?req=doc&amp;base=LAW&amp;n=545313&amp;dst=328&amp;field=134&amp;date=02.10.2026" w:history="1">
                    <w:r>
                      <w:rPr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lang w:val="ru-RU" w:eastAsia="ru-RU" w:bidi="ar-SA"/>
                    </w:rPr>
                    <w:t xml:space="preserve">ПП 1875, </w:t>
                  </w:r>
                  <w:r>
                    <w:rPr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lang w:val="ru-RU" w:eastAsia="ru-RU" w:bidi="ar-SA"/>
                    </w:rPr>
                    <w:fldChar w:fldCharType="separate"/>
                  </w:r>
                  <w:r>
                    <w:rPr>
                      <w:lang w:val="ru-RU" w:eastAsia="ru-RU" w:bidi="ar-SA"/>
                    </w:rPr>
                    <w:t xml:space="preserve">форме</w:t>
                  </w:r>
                  <w:r>
                    <w:rPr>
                      <w:lang w:val="ru-RU" w:eastAsia="ru-RU" w:bidi="ar-SA"/>
                    </w:rPr>
                    <w:fldChar w:fldCharType="end"/>
                  </w:r>
                  <w:r>
                    <w:rPr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14:ligatures w14:val="none"/>
                    </w:rPr>
                  </w:r>
                  <w:r>
                    <w:rPr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ffff00"/>
                    </w:rPr>
                  </w:pPr>
                  <w:r>
                    <w:rPr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color w:val="c9211e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  <w:bCs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24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-информацию о совокупном количестве баллов</w:t>
                  </w:r>
                  <w: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rPr>
                      <w:b/>
                      <w:bCs/>
                    </w:rPr>
                    <w:t xml:space="preserve">- информацию об уровне радиоэлектронной продукции</w:t>
                  </w:r>
                  <w:r>
                    <w:t xml:space="preserve">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 (</w:t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данная информация должна содержаться в реестровой записи только при закупке товаров, указанных в </w:t>
                  </w:r>
                  <w:r>
                    <w:fldChar w:fldCharType="begin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instrText xml:space="preserve"> HYPERLINK "https://garant.orb.ru/" \l "/document/411197447/entry/2195"</w:instrTex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separate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t xml:space="preserve">позициях 195</w: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end"/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, </w:t>
                  </w:r>
                  <w:r>
                    <w:fldChar w:fldCharType="begin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instrText xml:space="preserve"> HYPERLINK "https://garant.orb.ru/" \l "/document/411197447/entry/2197"</w:instrTex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separate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t xml:space="preserve">197 - 199</w: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end"/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 и </w:t>
                  </w:r>
                  <w:r>
                    <w:fldChar w:fldCharType="begin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instrText xml:space="preserve"> HYPERLINK "https://garant.orb.ru/" \l "/document/411197447/entry/2203"</w:instrTex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separate"/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t xml:space="preserve">203</w:t>
                  </w:r>
                  <w:r>
                    <w:rPr>
                      <w:rStyle w:val="772"/>
                      <w:rFonts w:ascii="PT Serif" w:hAnsi="PT Serif" w:cs="PT Serif"/>
                      <w:b/>
                      <w:i/>
                      <w:color w:val="3272c0"/>
                      <w:shd w:val="clear" w:color="auto" w:fill="ffffff"/>
                    </w:rPr>
                    <w:fldChar w:fldCharType="end"/>
                  </w:r>
                  <w:r>
                    <w:rPr>
                      <w:rFonts w:ascii="PT Serif" w:hAnsi="PT Serif" w:cs="PT Serif"/>
                      <w:b/>
                      <w:i/>
                      <w:color w:val="22272f"/>
                      <w:shd w:val="clear" w:color="auto" w:fill="ffffff"/>
                    </w:rPr>
                    <w:t xml:space="preserve"> приложения N 2 </w:t>
                  </w:r>
                  <w:r>
                    <w:rPr>
                      <w:b/>
                      <w:i/>
                    </w:rPr>
                    <w:t xml:space="preserve">ПП РФ № 1875</w:t>
                  </w:r>
                  <w:r>
                    <w:t xml:space="preserve">)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2  к постановлению Прав</w:t>
                  </w:r>
                  <w:r>
                    <w:rPr>
                      <w:i/>
                      <w:iCs/>
                      <w:color w:val="000000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</w:rPr>
                    <w:t xml:space="preserve"> - члена Евразийского экономического союза по форме, установленной </w:t>
                  </w:r>
                  <w:hyperlink r:id="rId60" w:tooltip="https://login.consultant.ru/link/?req=doc&amp;base=LAW&amp;n=451182&amp;dst=100024&amp;field=134&amp;date=03.09.2025" w:history="1">
                    <w:r>
                      <w:rPr>
                        <w:rStyle w:val="856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61" w:tooltip="https://login.consultant.ru/link/?req=doc&amp;base=LAW&amp;n=451182&amp;dst=100024&amp;field=134&amp;date=03.09.2025" w:history="1">
                    <w:r>
                      <w:rPr>
                        <w:rStyle w:val="856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</w:p>
                <w:p>
                  <w:pPr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62" w:tooltip="https://login.consultant.ru/link/?req=doc&amp;base=LAW&amp;n=545313&amp;dst=322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- </w:t>
                  </w:r>
                  <w:hyperlink r:id="rId63" w:tooltip="https://login.consultant.ru/link/?req=doc&amp;base=LAW&amp;n=545313&amp;dst=328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ПП 1875,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</w:rPr>
                    <w:fldChar w:fldCharType="begin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ЛЕКАРСТВЕННЫЕ ПРЕПАРАТЫ, указанные в позиции 433 приложения № 2 ПП РФ № 1875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tabs>
                      <w:tab w:val="clear" w:leader="none" w:pos="708"/>
                      <w:tab w:val="left" w:leader="none" w:pos="750"/>
                    </w:tabs>
                    <w:spacing w:after="0" w:before="30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Российской Федерации</w:t>
                  </w:r>
                  <w:r>
                    <w:rPr>
                      <w:rFonts w:eastAsia="Times New Roman"/>
                      <w:b/>
                      <w:bCs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предусмотренного </w:t>
                  </w:r>
                  <w:hyperlink r:id="rId64" w:tooltip="https://login.consultant.ru/link/?req=doc&amp;base=LAW&amp;n=505888&amp;dst=225&amp;field=134&amp;date=05.09.2025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статьей 17.1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 справка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65" w:tooltip="https://login.consultant.ru/link/?req=doc&amp;base=LAW&amp;n=511948&amp;dst=1170&amp;field=134&amp;date=05.09.2025" w:history="1">
                    <w:r>
                      <w:rPr>
                        <w:rStyle w:val="903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пунктом 1(1)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или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содержащей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в том числе: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информацию о совокупном количестве баллов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 за 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N 719 для целей осуществления закупок (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только 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в разделе  «Примечания» Приложения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  к  постановлению Правительства Россий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установлены требования о совокупном количестве баллов)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.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При этом, при осуществлении закупок до 30 апреля 2027 г., 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и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нформация о совокупном количестве баллов может не содержаться в реестровой записи из реестра российской промышленной продукции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, 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в случае если  реестровая запись в указанном реестре на такие товары сформирована по 30 июня 2026 г.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300" w:line="240" w:lineRule="auto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/>
                      <w:b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, порядок формирования и ведения которого устанавливается правом Евразийского экономического союза,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содержащей в том числе</w:t>
                    <w:br/>
                    <w:t xml:space="preserve">-информацию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о совокупном количестве баллов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pPr>
                  <w:r>
                    <w:rPr>
                      <w:b/>
                      <w:i/>
                      <w:color w:val="22272f"/>
                      <w:sz w:val="24"/>
                      <w:szCs w:val="24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При предложении в заявке на участие в закупке лекарственных препаратов, все стадии производства которого выполнены на территории ЕАЭС, для получения преимущества, предусмотренного подпунктом «у» пункта 4 ПП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РФ 1875, в дополнение к вышеуказанным информации и документам, в составе заявке на участие в закупке  представляется также документ, содержащий сведения о стадиях технологического процесса производства лекарственного средства для медицинского применения,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(в целях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союза).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</w:p>
                <w:p>
                  <w:pPr>
                    <w:pStyle w:val="727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 г. включительно, вышеуказанные преимущества положения подпункта «у» пункта 4 ПП РФ 1875 применяются также в отношении лекарстве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23 апреля 2026 г. N 942-р.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Товары из стран ЕАЭС, не указанные в позициях 1–433 приложения  № 2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2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2"/>
                      <w:shd w:val="clear" w:color="auto" w:fill="auto"/>
                    </w:rPr>
                    <w:t xml:space="preserve">подп. «з</w:t>
                  </w:r>
                  <w:r>
                    <w:rPr>
                      <w:rStyle w:val="772"/>
                      <w:shd w:val="clear" w:color="auto" w:fill="auto"/>
                    </w:rPr>
                    <w:fldChar w:fldCharType="end"/>
                  </w:r>
                  <w:r>
                    <w:fldChar w:fldCharType="begin"/>
                  </w:r>
                  <w:r>
                    <w:rPr>
                      <w:rStyle w:val="772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2"/>
                      <w:shd w:val="clear" w:color="auto" w:fill="auto"/>
                    </w:rPr>
                    <w:t xml:space="preserve">»</w:t>
                  </w:r>
                  <w:r>
                    <w:rPr>
                      <w:rStyle w:val="772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Иностранный товар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7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2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2"/>
                      <w:shd w:val="clear" w:color="auto" w:fill="auto"/>
                    </w:rPr>
                    <w:t xml:space="preserve">подп. «з»</w:t>
                  </w:r>
                  <w:r>
                    <w:rPr>
                      <w:rStyle w:val="772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7"/>
                    <w:widowControl w:val="false"/>
                    <w:spacing/>
                    <w:ind w:firstLine="567"/>
                    <w:jc w:val="both"/>
                    <w:rPr>
                      <w:highlight w:val="none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товара, 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2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2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2"/>
                      <w:shd w:val="clear" w:color="auto" w:fill="auto"/>
                    </w:rPr>
                    <w:t xml:space="preserve">пункте 3</w:t>
                  </w:r>
                  <w:r>
                    <w:rPr>
                      <w:rStyle w:val="772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7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highlight w:val="none"/>
              </w:rPr>
            </w:pPr>
            <w:r>
              <w:rPr>
                <w:b/>
                <w:i/>
              </w:rPr>
              <w:t xml:space="preserve">в) </w:t>
            </w:r>
            <w:r>
              <w:rPr>
                <w:b/>
                <w:bCs/>
                <w:color w:val="000000"/>
              </w:rPr>
              <w:t xml:space="preserve">в случае если в объект закупки включены товары,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установлено преимущество</w:t>
            </w:r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i/>
              </w:rPr>
              <w:t xml:space="preserve">товарам российского происхождения участник закупки в целях получения такого преимущества в отношении всех товаров, включенных в объект закупки  представляет в составе заявки следующие информацию и (или) документы: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001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не указанных в </w:t>
            </w:r>
            <w:hyperlink w:tooltip="#Par186" w:anchor="Par186" w:history="1">
              <w:r>
                <w:rPr>
                  <w:rStyle w:val="772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2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2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2"/>
                </w:rPr>
                <w:t xml:space="preserve">433</w:t>
              </w:r>
            </w:hyperlink>
            <w:r>
              <w:t xml:space="preserve"> приложения № 2 ПП РФ №1875,              </w:t>
            </w:r>
            <w:r>
              <w:t xml:space="preserve">     а также для подтверждения происхождения товара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союза)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001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указанных в </w:t>
            </w:r>
            <w:hyperlink w:tooltip="#Par186" w:anchor="Par186" w:history="1">
              <w:r>
                <w:rPr>
                  <w:rStyle w:val="772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2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2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2"/>
                </w:rPr>
                <w:t xml:space="preserve">433</w:t>
              </w:r>
            </w:hyperlink>
            <w:r>
              <w:t xml:space="preserve"> приложения № 2 ПП РФ № 1875                           </w:t>
            </w:r>
            <w:r>
              <w:rPr>
                <w:b/>
              </w:rPr>
              <w:t xml:space="preserve">- документы, предусмотренные в пп. а) и б) настоящего пункта;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1001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вышеуказанных товаров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ЕАЭС)                        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7"/>
              <w:widowControl w:val="false"/>
              <w:shd w:val="clear" w:color="auto" w:fill="ffffff"/>
              <w:tabs>
                <w:tab w:val="left" w:leader="none" w:pos="567"/>
                <w:tab w:val="clear" w:leader="none" w:pos="708"/>
                <w:tab w:val="left" w:leader="none" w:pos="4395"/>
              </w:tabs>
              <w:spacing w:after="0" w:before="220"/>
              <w:ind w:firstLine="540"/>
              <w:jc w:val="both"/>
              <w:rPr>
                <w:highlight w:val="none"/>
              </w:rPr>
            </w:pPr>
            <w:r>
              <w:tab/>
              <w:t xml:space="preserve">В случае отсутствия в заявке на участие в закупке информации и документов, предусмотренных в нас</w:t>
            </w:r>
            <w:r>
              <w:t xml:space="preserve">тоящем пункте,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5" w:type="dxa"/>
            <w:textDirection w:val="lrTb"/>
            <w:noWrap w:val="false"/>
          </w:tcPr>
          <w:p>
            <w:pPr>
              <w:pStyle w:val="930"/>
              <w:widowControl w:val="false"/>
              <w:numPr>
                <w:ilvl w:val="0"/>
                <w:numId w:val="3"/>
              </w:numPr>
              <w:spacing w:after="0" w:before="0"/>
              <w:ind w:right="113" w:firstLine="75" w:left="57"/>
              <w:contextualSpacing w:val="true"/>
              <w:jc w:val="left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3392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rPr>
                <w:b/>
              </w:rPr>
              <w:t xml:space="preserve">Дополнительные сведения</w:t>
            </w:r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958" w:type="dxa"/>
            <w:textDirection w:val="lrTb"/>
            <w:noWrap w:val="false"/>
          </w:tcPr>
          <w:p>
            <w:pPr>
              <w:pStyle w:val="727"/>
              <w:widowControl w:val="false"/>
              <w:spacing/>
              <w:ind w:right="113" w:firstLine="284" w:left="57"/>
              <w:jc w:val="both"/>
              <w:rPr/>
            </w:pPr>
            <w:r>
              <w:t xml:space="preserve">Не установлены.</w:t>
            </w:r>
            <w:r/>
          </w:p>
        </w:tc>
      </w:tr>
    </w:tbl>
    <w:p>
      <w:pPr>
        <w:pStyle w:val="727"/>
        <w:spacing/>
        <w:ind/>
        <w:jc w:val="center"/>
        <w:rPr>
          <w:rFonts w:eastAsia="Calibri"/>
          <w:b/>
          <w:highlight w:val="yellow"/>
          <w:lang w:eastAsia="en-US"/>
        </w:rPr>
      </w:pPr>
      <w:r>
        <w:rPr>
          <w:rFonts w:eastAsia="Calibri"/>
          <w:b/>
          <w:highlight w:val="yellow"/>
          <w:lang w:eastAsia="en-US"/>
        </w:rPr>
      </w:r>
      <w:r>
        <w:rPr>
          <w:rFonts w:eastAsia="Calibri"/>
          <w:b/>
          <w:highlight w:val="yellow"/>
          <w:lang w:eastAsia="en-US"/>
        </w:rPr>
      </w:r>
      <w:r>
        <w:rPr>
          <w:rFonts w:eastAsia="Calibri"/>
          <w:b/>
          <w:highlight w:val="yellow"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I</w:t>
      </w:r>
      <w:r>
        <w:rPr>
          <w:rFonts w:eastAsia="Calibri"/>
          <w:b/>
          <w:lang w:val="en-US" w:eastAsia="en-US"/>
        </w:rPr>
        <w:t xml:space="preserve">I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Техническое задание </w:t>
      </w:r>
      <w:r>
        <w:rPr>
          <w:rFonts w:eastAsia="Calibri"/>
          <w:lang w:eastAsia="en-US"/>
        </w:rPr>
        <w:t xml:space="preserve">прилагается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I</w:t>
      </w:r>
      <w:r>
        <w:rPr>
          <w:rFonts w:eastAsia="Calibri"/>
          <w:b/>
          <w:lang w:val="en-US" w:eastAsia="en-US"/>
        </w:rPr>
        <w:t xml:space="preserve">II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7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7"/>
        <w:spacing/>
        <w:ind/>
        <w:jc w:val="center"/>
        <w:rPr/>
      </w:pPr>
      <w:r/>
      <w:r/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РАЗДЕЛ I</w:t>
      </w:r>
      <w:r>
        <w:rPr>
          <w:rFonts w:eastAsia="Calibri"/>
          <w:b/>
          <w:lang w:val="en-US" w:eastAsia="en-US"/>
        </w:rPr>
        <w:t xml:space="preserve">V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7"/>
        <w:spacing/>
        <w:ind/>
        <w:jc w:val="center"/>
        <w:rPr/>
      </w:pPr>
      <w:r/>
      <w:r/>
    </w:p>
    <w:p>
      <w:pPr>
        <w:pStyle w:val="727"/>
        <w:spacing/>
        <w:ind/>
        <w:jc w:val="center"/>
        <w:rPr/>
      </w:pPr>
      <w:r>
        <w:rPr>
          <w:b/>
        </w:rPr>
        <w:t xml:space="preserve">ПРОЕКТ ДОГОВОРА</w:t>
      </w:r>
      <w:r>
        <w:t xml:space="preserve"> прилагается.</w:t>
      </w:r>
      <w:r/>
    </w:p>
    <w:p>
      <w:pPr>
        <w:pStyle w:val="727"/>
        <w:spacing/>
        <w:ind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7"/>
        <w:spacing/>
        <w:ind/>
        <w:jc w:val="center"/>
        <w:rPr/>
      </w:pPr>
      <w:r/>
      <w:r/>
    </w:p>
    <w:p>
      <w:pPr>
        <w:pStyle w:val="727"/>
        <w:spacing/>
        <w:ind/>
        <w:jc w:val="center"/>
        <w:rPr>
          <w:rFonts w:eastAsia="Calibri"/>
        </w:rPr>
        <w:sectPr>
          <w:footnotePr/>
          <w:endnotePr/>
          <w:type w:val="nextPage"/>
          <w:pgSz w:h="16838" w:orient="portrait" w:w="11906"/>
          <w:pgMar w:top="568" w:right="567" w:bottom="993" w:left="1418" w:header="0" w:footer="0" w:gutter="0"/>
          <w:cols w:num="1" w:sep="0" w:space="1701" w:equalWidth="1"/>
        </w:sectPr>
      </w:pPr>
      <w:r>
        <w:rPr>
          <w:rFonts w:eastAsia="Calibri"/>
          <w:lang w:eastAsia="en-US"/>
        </w:rPr>
        <w:t xml:space="preserve">Сведения о </w:t>
      </w:r>
      <w:r>
        <w:rPr>
          <w:b/>
        </w:rPr>
        <w:t xml:space="preserve">запрете</w:t>
      </w:r>
      <w:r>
        <w:t xml:space="preserve">, </w:t>
      </w:r>
      <w:r>
        <w:rPr>
          <w:b/>
        </w:rPr>
        <w:t xml:space="preserve">ограничении</w:t>
      </w:r>
      <w:r>
        <w:t xml:space="preserve"> </w:t>
      </w:r>
      <w:r>
        <w:rPr>
          <w:rFonts w:eastAsia="Calibri"/>
        </w:rPr>
        <w:t xml:space="preserve">закупок товаров</w:t>
      </w:r>
      <w:r>
        <w:t xml:space="preserve">, </w:t>
      </w:r>
      <w:r>
        <w:rPr>
          <w:rFonts w:eastAsia="Calibri"/>
        </w:rPr>
        <w:t xml:space="preserve"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</w:t>
      </w:r>
      <w:r>
        <w:rPr>
          <w:rFonts w:eastAsia="Calibri"/>
          <w:b/>
        </w:rPr>
        <w:t xml:space="preserve">преимуществе</w:t>
      </w:r>
      <w:r>
        <w:rPr>
          <w:rFonts w:eastAsia="Calibri"/>
        </w:rPr>
        <w:t xml:space="preserve"> в отношении товаров российского происхождения (в том числе поставляемых при выполнении закупаемых работ, оказании закупаемых услуг) </w:t>
      </w:r>
      <w:r>
        <w:rPr>
          <w:rFonts w:eastAsia="Calibri"/>
          <w:b/>
        </w:rPr>
        <w:t xml:space="preserve">ПРИЛАГАЕТСЯ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7"/>
        <w:tabs>
          <w:tab w:val="left" w:leader="none" w:pos="284"/>
          <w:tab w:val="left" w:leader="none" w:pos="568"/>
          <w:tab w:val="clear" w:leader="none" w:pos="708"/>
        </w:tabs>
        <w:spacing w:after="0" w:before="60"/>
        <w:ind/>
        <w:jc w:val="right"/>
        <w:rPr>
          <w:b/>
        </w:rPr>
      </w:pPr>
      <w:r>
        <w:rPr>
          <w:b/>
        </w:rPr>
        <w:t xml:space="preserve">Приложение № 2 к Извещению</w:t>
      </w:r>
      <w:r>
        <w:rPr>
          <w:b/>
        </w:rPr>
      </w:r>
      <w:r>
        <w:rPr>
          <w:b/>
        </w:rPr>
      </w:r>
    </w:p>
    <w:p>
      <w:pPr>
        <w:pStyle w:val="727"/>
        <w:keepNext w:val="true"/>
        <w:numPr>
          <w:ilvl w:val="0"/>
          <w:numId w:val="0"/>
        </w:numPr>
        <w:spacing/>
        <w:ind w:firstLine="0" w:left="0"/>
        <w:jc w:val="right"/>
        <w:outlineLvl w:val="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Рекомендуемая форма заявки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27"/>
        <w:tabs>
          <w:tab w:val="left" w:leader="none" w:pos="284"/>
          <w:tab w:val="left" w:leader="none" w:pos="568"/>
          <w:tab w:val="clear" w:leader="none" w:pos="708"/>
        </w:tabs>
        <w:spacing w:after="0" w:before="60"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727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Заявка </w:t>
      </w:r>
      <w:r>
        <w:rPr>
          <w:b/>
          <w:i/>
          <w:sz w:val="32"/>
          <w:szCs w:val="32"/>
        </w:rPr>
      </w:r>
      <w:r>
        <w:rPr>
          <w:b/>
          <w:i/>
          <w:sz w:val="32"/>
          <w:szCs w:val="32"/>
        </w:rPr>
      </w:r>
    </w:p>
    <w:p>
      <w:pPr>
        <w:pStyle w:val="727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727"/>
        <w:spacing/>
        <w:ind/>
        <w:jc w:val="center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7"/>
        <w:spacing/>
        <w:ind w:firstLine="720"/>
        <w:jc w:val="both"/>
        <w:rPr/>
      </w:pPr>
      <w:r>
        <w:t xml:space="preserve">Представляем следующие  сведения о конкретных характеристиках поставляемого товара, в т.ч. при выполнении работ, оказании услуг:*</w:t>
      </w:r>
      <w:r/>
    </w:p>
    <w:p>
      <w:pPr>
        <w:pStyle w:val="727"/>
        <w:spacing/>
        <w:ind w:firstLine="720"/>
        <w:jc w:val="both"/>
        <w:rPr/>
      </w:pPr>
      <w:r/>
      <w:r/>
    </w:p>
    <w:tbl>
      <w:tblPr>
        <w:tblInd w:w="-885" w:type="dxa"/>
        <w:tblW w:w="11100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135"/>
        <w:gridCol w:w="1276"/>
        <w:gridCol w:w="869"/>
        <w:gridCol w:w="1018"/>
        <w:gridCol w:w="1425"/>
        <w:gridCol w:w="1226"/>
        <w:gridCol w:w="1274"/>
        <w:gridCol w:w="1175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№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п/п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Наименование поставляемого товара,  в соответствии со спецификацией, Техническим заданием Заказчика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Товарный знак товара (при наличии)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highlight w:val="none"/>
              </w:rPr>
            </w:pPr>
            <w:r>
              <w:rPr>
                <w:sz w:val="18"/>
                <w:szCs w:val="18"/>
              </w:rPr>
              <w:t xml:space="preserve">Страна происхождения поставляемого товара (</w:t>
            </w:r>
            <w:r>
              <w:rPr>
                <w:b/>
                <w:i/>
                <w:sz w:val="18"/>
                <w:szCs w:val="18"/>
              </w:rPr>
              <w:t xml:space="preserve">не подлежит обязательному заполнению в 1 части заявки)**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Ед. измерения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highlight w:val="none"/>
              </w:rPr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Количество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highlight w:val="none"/>
              </w:rPr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Конкретные показатели поставляемого товара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Реквизиты (дата, номер) регистрационного удостоверения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highlight w:val="none"/>
              </w:rPr>
            </w:pP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rPr>
                <w:highlight w:val="none"/>
              </w:rPr>
            </w:pPr>
            <w:r>
              <w:rPr>
                <w:sz w:val="18"/>
                <w:szCs w:val="18"/>
              </w:rPr>
              <w:t xml:space="preserve">Номер позиции в регистрационном удостоверении, соответствующий предлагаемому к поставке товару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rPr>
                <w:highlight w:val="none"/>
              </w:rPr>
            </w:pPr>
            <w:r>
              <w:rPr>
                <w:sz w:val="18"/>
                <w:szCs w:val="18"/>
              </w:rPr>
              <w:t xml:space="preserve">Наименование медицинского изделия в соответствии регистрационным удостоверением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6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7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8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9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10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  <w:highlight w:val="none"/>
              </w:rPr>
            </w:r>
            <w:r>
              <w:rPr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  <w:highlight w:val="none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  <w:highlight w:val="none"/>
              </w:rPr>
            </w:r>
            <w:r>
              <w:rPr>
                <w:b/>
                <w:i/>
                <w:sz w:val="18"/>
                <w:szCs w:val="18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7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  <w:highlight w:val="none"/>
              </w:rPr>
            </w:pPr>
            <w:r>
              <w:rPr>
                <w:b/>
                <w:i/>
                <w:sz w:val="18"/>
                <w:szCs w:val="18"/>
              </w:rPr>
              <w:t xml:space="preserve">Столбцы 5,6 не заполняются в случае закупки с неопределенным объемом (количеством)</w:t>
            </w:r>
            <w:r>
              <w:rPr>
                <w:b/>
                <w:i/>
                <w:sz w:val="18"/>
                <w:szCs w:val="18"/>
                <w:highlight w:val="none"/>
              </w:rPr>
            </w:r>
            <w:r>
              <w:rPr>
                <w:b/>
                <w:i/>
                <w:sz w:val="18"/>
                <w:szCs w:val="1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  <w:highlight w:val="none"/>
              </w:rPr>
            </w:r>
            <w:r>
              <w:rPr>
                <w:b/>
                <w:sz w:val="18"/>
                <w:szCs w:val="18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5" w:type="dxa"/>
            <w:textDirection w:val="lrTb"/>
            <w:noWrap w:val="false"/>
          </w:tcPr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  <w:highlight w:val="none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  <w:highlight w:val="none"/>
              </w:rPr>
            </w:r>
            <w:r>
              <w:rPr>
                <w:b/>
                <w:i/>
                <w:sz w:val="18"/>
                <w:szCs w:val="18"/>
                <w:highlight w:val="none"/>
              </w:rPr>
            </w:r>
          </w:p>
          <w:p>
            <w:pPr>
              <w:pStyle w:val="727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  <w:highlight w:val="none"/>
              </w:rPr>
            </w:pPr>
            <w:r>
              <w:rPr>
                <w:b/>
                <w:i/>
                <w:sz w:val="18"/>
                <w:szCs w:val="18"/>
              </w:rPr>
              <w:t xml:space="preserve">Столбцы 8,9,10 заполняются в случае поставки медицинского изделия</w:t>
            </w:r>
            <w:r>
              <w:rPr>
                <w:b/>
                <w:i/>
                <w:sz w:val="18"/>
                <w:szCs w:val="18"/>
                <w:highlight w:val="none"/>
              </w:rPr>
            </w:r>
            <w:r>
              <w:rPr>
                <w:b/>
                <w:i/>
                <w:sz w:val="18"/>
                <w:szCs w:val="18"/>
                <w:highlight w:val="none"/>
              </w:rPr>
            </w:r>
          </w:p>
        </w:tc>
      </w:tr>
    </w:tbl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i/>
        </w:rPr>
      </w:pPr>
      <w:r>
        <w:rPr>
          <w:bCs/>
          <w:i/>
        </w:rPr>
        <w:t xml:space="preserve">*таблица заполняется в случае поставки товара, а также  в случае выполнения работ, оказания услуг при наличии в составе извещения о закупке отдельного перечня товаров, </w:t>
      </w:r>
      <w:r>
        <w:rPr>
          <w:bCs/>
          <w:i/>
          <w:u w:val="single"/>
        </w:rPr>
        <w:t xml:space="preserve">поставляемых</w:t>
      </w:r>
      <w:r>
        <w:rPr>
          <w:bCs/>
          <w:i/>
        </w:rPr>
        <w:t xml:space="preserve">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товаров.</w:t>
      </w:r>
      <w:r>
        <w:rPr>
          <w:sz w:val="20"/>
          <w:szCs w:val="20"/>
        </w:rPr>
        <w:t xml:space="preserve"> </w:t>
      </w:r>
      <w:r>
        <w:rPr>
          <w:i/>
        </w:rPr>
        <w:t xml:space="preserve">Предоставление сведений о характеристиках товаров и материалов, </w:t>
      </w:r>
      <w:r>
        <w:rPr>
          <w:i/>
          <w:u w:val="single"/>
        </w:rPr>
        <w:t xml:space="preserve">используемых</w:t>
      </w:r>
      <w:r>
        <w:rPr>
          <w:i/>
        </w:rPr>
        <w:t xml:space="preserve"> при выполнении работ, оказании услуг (т.е. товаров которые не подлежат отдельной приемки заказчиком и отдельному  бухгалтерскому учету с постановкой на баланс как отдельные объекты бухгалтерского учета) не требуется.</w:t>
      </w:r>
      <w:r>
        <w:rPr>
          <w:i/>
        </w:rPr>
      </w:r>
      <w:r>
        <w:rPr>
          <w:i/>
        </w:rPr>
      </w:r>
    </w:p>
    <w:p>
      <w:pPr>
        <w:pStyle w:val="727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i/>
          <w:lang w:eastAsia="zh-CN"/>
        </w:rPr>
      </w:pPr>
      <w:r>
        <w:rPr>
          <w:rFonts w:eastAsia="Calibri"/>
          <w:bCs/>
          <w:i/>
        </w:rPr>
        <w:t xml:space="preserve">В случае если в закупке на </w:t>
      </w:r>
      <w:r>
        <w:rPr>
          <w:bCs/>
          <w:i/>
        </w:rPr>
        <w:t xml:space="preserve">выполнение работ, оказание услуг поставка товара не осуществляется,</w:t>
      </w:r>
      <w:r>
        <w:rPr>
          <w:bCs/>
          <w:i/>
          <w:u w:val="single"/>
        </w:rPr>
        <w:t xml:space="preserve"> участник закупки  вправе не заполнять настоящую таблицу и не прикладывать в составе заявки данный документ (форму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  <w:lang w:eastAsia="zh-CN"/>
        </w:rPr>
        <w:t xml:space="preserve">согласие на поставку товара, выполнение работы, оказание услуги на условиях настоящего извещения, в том числе согласие со всеми условиями исполнения договора.</w:t>
      </w:r>
      <w:r>
        <w:rPr>
          <w:rFonts w:eastAsia="Calibri"/>
          <w:i/>
          <w:lang w:eastAsia="zh-CN"/>
        </w:rPr>
      </w:r>
      <w:r>
        <w:rPr>
          <w:rFonts w:eastAsia="Calibri"/>
          <w:i/>
          <w:lang w:eastAsia="zh-CN"/>
        </w:rPr>
      </w:r>
    </w:p>
    <w:p>
      <w:pPr>
        <w:pStyle w:val="727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Если в «Техническом задании» и (или) иных документах, входящих в состав извещения о закупке,  в наименовании или описании товаров есть указания на товарные знаки и участник предлагает </w:t>
      </w:r>
      <w:r>
        <w:rPr>
          <w:bCs/>
          <w:i/>
          <w:u w:val="single"/>
        </w:rPr>
        <w:t xml:space="preserve">по всем таким товарам</w:t>
      </w:r>
      <w:r>
        <w:rPr>
          <w:bCs/>
          <w:i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заявки данный документ (форму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  <w:lang w:eastAsia="zh-CN"/>
        </w:rPr>
        <w:t xml:space="preserve">согласие на поставку товара, выполнение работы, оказание услуги на условиях настоящего извещения, в том числе согласие со всеми условиями исполнения договора.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7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  <w:t xml:space="preserve">Инструкция по заполнению заявки:</w:t>
      </w:r>
      <w:r>
        <w:rPr>
          <w:b/>
        </w:rPr>
      </w:r>
      <w:r>
        <w:rPr>
          <w:b/>
        </w:rPr>
      </w:r>
    </w:p>
    <w:p>
      <w:pPr>
        <w:pStyle w:val="727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  <w:t xml:space="preserve">ВНИМАНИЕ УЧАСТНИКОВ ЗАКУПКИ!</w:t>
      </w:r>
      <w:r>
        <w:rPr>
          <w:b/>
        </w:rPr>
      </w:r>
      <w:r>
        <w:rPr>
          <w:b/>
        </w:rPr>
      </w:r>
    </w:p>
    <w:p>
      <w:pPr>
        <w:pStyle w:val="727"/>
        <w:shd w:val="clear" w:color="auto" w:fill="ffffff"/>
        <w:spacing/>
        <w:ind w:firstLine="567"/>
        <w:jc w:val="both"/>
        <w:rPr>
          <w:b/>
        </w:rPr>
      </w:pPr>
      <w:r>
        <w:rPr>
          <w:b/>
        </w:rPr>
        <w:t xml:space="preserve">В случае выявления комиссией по осуществлению закупки явных противоречий в информации о товарном знаке и характеристиках товара, указанных в заявке в структурированном </w:t>
      </w:r>
      <w:r>
        <w:rPr>
          <w:b/>
        </w:rPr>
        <w:t xml:space="preserve">виде, формируемой с использованием электронной площадки, и в приложенном к заявке на участие в закупке документе (файле), такая заявка может быть признана комиссией по осуществлению закупки не соответствующей требованиям извещения об осуществлении закупки.</w:t>
      </w:r>
      <w:r>
        <w:rPr>
          <w:b/>
        </w:rPr>
      </w:r>
      <w:r>
        <w:rPr>
          <w:b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930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 w:after="0" w:before="0"/>
        <w:ind w:right="136" w:hanging="360" w:left="1070"/>
        <w:contextualSpacing w:val="true"/>
        <w:rPr>
          <w:rFonts w:eastAsia="Times New Roman"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</w:rPr>
        <w:t xml:space="preserve">Данные инструкции не следует воспроизводить в документах, подготовленных Участником закупки. </w:t>
      </w:r>
      <w:r>
        <w:rPr>
          <w:rFonts w:eastAsia="Times New Roman"/>
          <w:bCs/>
          <w:sz w:val="22"/>
          <w:szCs w:val="22"/>
        </w:rPr>
      </w:r>
      <w:r>
        <w:rPr>
          <w:rFonts w:eastAsia="Times New Roman"/>
          <w:bCs/>
          <w:sz w:val="22"/>
          <w:szCs w:val="22"/>
        </w:rPr>
      </w:r>
    </w:p>
    <w:p>
      <w:pPr>
        <w:pStyle w:val="930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 w:after="0" w:before="0"/>
        <w:ind w:right="136" w:hanging="360" w:left="1070"/>
        <w:contextualSpacing w:val="true"/>
        <w:rPr>
          <w:rFonts w:eastAsia="Times New Roman"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  <w:u w:val="single"/>
        </w:rPr>
        <w:t xml:space="preserve">Участник закупки формирует заявку на основании данных и требований к качеству и техническим (функциональным) характеристикам товара, работы,    услуги, указанным в Техническом задании» и (или) иных документах содержащих таковые требования.</w:t>
      </w:r>
      <w:r>
        <w:rPr>
          <w:rFonts w:eastAsia="Times New Roman"/>
          <w:bCs/>
          <w:sz w:val="22"/>
          <w:szCs w:val="22"/>
        </w:rPr>
      </w:r>
      <w:r>
        <w:rPr>
          <w:rFonts w:eastAsia="Times New Roman"/>
          <w:bCs/>
          <w:sz w:val="22"/>
          <w:szCs w:val="22"/>
        </w:rPr>
      </w:r>
    </w:p>
    <w:p>
      <w:pPr>
        <w:pStyle w:val="727"/>
        <w:tabs>
          <w:tab w:val="clear" w:leader="none" w:pos="708"/>
          <w:tab w:val="left" w:leader="none" w:pos="8931"/>
        </w:tabs>
        <w:spacing/>
        <w:ind w:right="136" w:firstLine="0"/>
        <w:jc w:val="both"/>
        <w:rPr>
          <w:rFonts w:eastAsia="Calibri"/>
          <w:bCs/>
          <w:sz w:val="22"/>
          <w:szCs w:val="22"/>
        </w:rPr>
      </w:pPr>
      <w:r>
        <w:rPr>
          <w:bCs/>
          <w:sz w:val="22"/>
          <w:szCs w:val="22"/>
        </w:rPr>
        <w:t xml:space="preserve">Если в «Техническом задании» и (или) иных документах в наименовании или описании товаров есть указания на товарные знаки и участник предлагает </w:t>
      </w:r>
      <w:r>
        <w:rPr>
          <w:bCs/>
          <w:sz w:val="22"/>
          <w:szCs w:val="22"/>
          <w:u w:val="single"/>
        </w:rPr>
        <w:t xml:space="preserve">по всем таким товарам</w:t>
      </w:r>
      <w:r>
        <w:rPr>
          <w:bCs/>
          <w:sz w:val="22"/>
          <w:szCs w:val="22"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заявки данный документ (форму заявки) и какие либо другие документы. При этом, наличие факта п</w:t>
      </w:r>
      <w:r>
        <w:rPr>
          <w:rFonts w:eastAsia="Calibri"/>
          <w:bCs/>
          <w:sz w:val="22"/>
          <w:szCs w:val="22"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sz w:val="22"/>
          <w:szCs w:val="22"/>
          <w:lang w:eastAsia="zh-CN"/>
        </w:rPr>
        <w:t xml:space="preserve">согласие на поставку товара, выполнение работы, оказание услуги на условиях настоящего извещения, в том числе согласие со всеми условиями исполнения договора.</w:t>
      </w:r>
      <w:r>
        <w:rPr>
          <w:rFonts w:eastAsia="Calibri"/>
          <w:bCs/>
          <w:sz w:val="22"/>
          <w:szCs w:val="22"/>
        </w:rPr>
      </w:r>
      <w:r>
        <w:rPr>
          <w:rFonts w:eastAsia="Calibri"/>
          <w:bCs/>
          <w:sz w:val="22"/>
          <w:szCs w:val="22"/>
        </w:rPr>
      </w:r>
    </w:p>
    <w:p>
      <w:pPr>
        <w:pStyle w:val="930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 w:after="0" w:before="0"/>
        <w:ind w:right="136" w:hanging="360" w:left="1070"/>
        <w:contextualSpacing w:val="true"/>
        <w:rPr>
          <w:rFonts w:eastAsia="Times New Roman"/>
          <w:bCs/>
          <w:sz w:val="22"/>
          <w:szCs w:val="22"/>
        </w:rPr>
      </w:pPr>
      <w:r>
        <w:rPr>
          <w:rFonts w:eastAsia="Times New Roman"/>
          <w:bCs/>
          <w:sz w:val="22"/>
          <w:szCs w:val="22"/>
        </w:rPr>
        <w:t xml:space="preserve">Участник должен указать конкретные показатели товара, соответствующие значениям, установленным в «Техническом задании» и (или) иных документах содержащих таковые требования, и указание н</w:t>
      </w:r>
      <w:r>
        <w:rPr>
          <w:rFonts w:eastAsia="Times New Roman"/>
          <w:bCs/>
          <w:sz w:val="22"/>
          <w:szCs w:val="22"/>
        </w:rPr>
        <w:t xml:space="preserve">а товарный знак (при наличии) в случае отсутствия в перечисленных документах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«Техническом задании».</w:t>
      </w:r>
      <w:r>
        <w:rPr>
          <w:rFonts w:eastAsia="Times New Roman"/>
          <w:bCs/>
          <w:sz w:val="22"/>
          <w:szCs w:val="22"/>
        </w:rPr>
      </w:r>
      <w:r>
        <w:rPr>
          <w:rFonts w:eastAsia="Times New Roman"/>
          <w:bCs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Участник закупки вправе предоста</w:t>
      </w:r>
      <w:r>
        <w:rPr>
          <w:rFonts w:eastAsia="Calibri"/>
          <w:bCs/>
          <w:sz w:val="22"/>
          <w:szCs w:val="22"/>
        </w:rPr>
        <w:t xml:space="preserve">вить иную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закупке.</w:t>
      </w:r>
      <w:r>
        <w:rPr>
          <w:rFonts w:eastAsia="Calibri"/>
          <w:bCs/>
          <w:sz w:val="22"/>
          <w:szCs w:val="22"/>
        </w:rPr>
      </w:r>
      <w:r>
        <w:rPr>
          <w:rFonts w:eastAsia="Calibri"/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Участник закупки несет ответственность за корректность предоставления данных. В случае выявления при рассмотрении заявок участников заведомо недостоверных сведений, намеренного искажения информации заявка данного участника подлежит отклонению.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</w:rPr>
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допускать разночтения или двусмысленное толкование.</w:t>
      </w:r>
      <w:r>
        <w:rPr>
          <w:rFonts w:eastAsia="Calibri"/>
          <w:sz w:val="22"/>
          <w:szCs w:val="22"/>
          <w:lang w:eastAsia="en-US"/>
        </w:rPr>
      </w:r>
      <w:r>
        <w:rPr>
          <w:rFonts w:eastAsia="Calibri"/>
          <w:sz w:val="22"/>
          <w:szCs w:val="22"/>
          <w:lang w:eastAsia="en-US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В случае если </w:t>
      </w:r>
      <w:r>
        <w:rPr>
          <w:rFonts w:eastAsia="Calibri"/>
          <w:b/>
          <w:sz w:val="22"/>
          <w:szCs w:val="22"/>
        </w:rPr>
        <w:t xml:space="preserve">страна происхождения</w:t>
      </w:r>
      <w:r>
        <w:rPr>
          <w:rFonts w:eastAsia="Calibri"/>
          <w:sz w:val="22"/>
          <w:szCs w:val="22"/>
        </w:rPr>
        <w:t xml:space="preserve"> предлагаемого к поставке товара, указанная в соответствии с п. 16.1 настоящего приложения к извещению о закупке в структурированном виде заявки на участие в закупке, формируемой с использованием электронной площадки, </w:t>
      </w:r>
      <w:r>
        <w:rPr>
          <w:rFonts w:eastAsia="Calibri"/>
          <w:b/>
          <w:sz w:val="22"/>
          <w:szCs w:val="22"/>
        </w:rPr>
        <w:t xml:space="preserve">отличается</w:t>
      </w:r>
      <w:r>
        <w:rPr>
          <w:rFonts w:eastAsia="Calibri"/>
          <w:sz w:val="22"/>
          <w:szCs w:val="22"/>
        </w:rPr>
        <w:t xml:space="preserve"> от страны происхождения предлагаемого к поставке товара, указанной в приложенном к заявке документе, то комисс</w:t>
      </w:r>
      <w:r>
        <w:rPr>
          <w:rFonts w:eastAsia="Calibri"/>
          <w:sz w:val="22"/>
          <w:szCs w:val="22"/>
        </w:rPr>
        <w:t xml:space="preserve">ия по осуществлению закупки при рассмотрении заявок в соответствии с ПП РФ № 1875 учитывает только страну происхождения предлагаемого товара, указанную в структурированном виде заявки на участие в закупке, формируемой с использованием электронной площадки.</w:t>
      </w:r>
      <w:r>
        <w:rPr>
          <w:rFonts w:eastAsia="Calibri"/>
          <w:sz w:val="22"/>
          <w:szCs w:val="22"/>
        </w:rPr>
      </w:r>
      <w:r>
        <w:rPr>
          <w:rFonts w:eastAsia="Calibri"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Если объектом закупки является товар, то в случае предложения участником закупки в заявке меньшего количества товара, чем предусмотрено в Описании объекта заку</w:t>
      </w:r>
      <w:r>
        <w:rPr>
          <w:bCs/>
          <w:sz w:val="22"/>
          <w:szCs w:val="22"/>
        </w:rPr>
        <w:t xml:space="preserve">пки (Техническом задании),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Если объектом закупки является товар (и если в зак</w:t>
      </w:r>
      <w:r>
        <w:rPr>
          <w:bCs/>
          <w:sz w:val="22"/>
          <w:szCs w:val="22"/>
        </w:rPr>
        <w:t xml:space="preserve">упке установлены требования к сроку годности товара), то в случае указания в заявке остаточного срока годности предлагаемого к поставке товара не соответствующего требованиям к остаточному сроку годности товара, указанным в Описании объекта закупки, в том </w:t>
      </w:r>
      <w:r>
        <w:rPr>
          <w:bCs/>
          <w:sz w:val="22"/>
          <w:szCs w:val="22"/>
        </w:rPr>
        <w:t xml:space="preserve">числе в проекте контракта,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случае если в техни</w:t>
      </w:r>
      <w:r>
        <w:rPr>
          <w:bCs/>
          <w:sz w:val="22"/>
          <w:szCs w:val="22"/>
        </w:rPr>
        <w:t xml:space="preserve">ческом задании заказчиком установлены конкретные требования к диапазонным величинам, участник закупки вправе предложить к поставке товар с иными значениями, включающими указанный диапазон в соответствии с технической документацией, поставляемого товара.  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случае осуществления з</w:t>
      </w:r>
      <w:r>
        <w:rPr>
          <w:bCs/>
          <w:sz w:val="22"/>
          <w:szCs w:val="22"/>
        </w:rPr>
        <w:t xml:space="preserve">акупок лекарственных средств и (или) медицинских изделий, при представлении участником закупки в составе заявки на участие в закупке регистрационного удостоверения в неактуальной редакции, в неполном объеме или без приложения, представление скан-копии реги</w:t>
      </w:r>
      <w:r>
        <w:rPr>
          <w:bCs/>
          <w:sz w:val="22"/>
          <w:szCs w:val="22"/>
        </w:rPr>
        <w:t xml:space="preserve">страционного удостоверения в нечитаемом виде или при отсутствии (невозможности распознавания) определенных его реквизитов) и при наличии в соответствующем Государственном реестре сведений о регистрации лекарственного средства (медицинского изделия), указан</w:t>
      </w:r>
      <w:r>
        <w:rPr>
          <w:bCs/>
          <w:sz w:val="22"/>
          <w:szCs w:val="22"/>
        </w:rPr>
        <w:t xml:space="preserve">ного в представленном регистрационном удостоверении и соответствующего требованиям Технического задания, комиссия по осуществлению закупок вправе принять решение о соответствии/несоответствии на основании информации, содержащейся в государственном реестре.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случае осуществления закупок лекарственных средств комиссия по осуществлению закупки вправе принять решение о соответствии лекарственной формы, указанной в заявке участника, треб</w:t>
      </w:r>
      <w:r>
        <w:rPr>
          <w:bCs/>
          <w:sz w:val="22"/>
          <w:szCs w:val="22"/>
        </w:rPr>
        <w:t xml:space="preserve">ованиям, указанным в описании объекта закупки на основании информации о взаимозаменяемости, содержащейся в перечне взаимозаменяемых лекарственных препаратов для медицинского применения, размещенном уполномоченным федеральным органом исполнительной власти, </w:t>
      </w:r>
      <w:r>
        <w:rPr>
          <w:bCs/>
          <w:sz w:val="22"/>
          <w:szCs w:val="22"/>
        </w:rPr>
        <w:t xml:space="preserve">осуществляющим государственную регистрацию лекарственных препаратов для медицинского применения, на своем официальном сайте в сети «Интернет» в соответствии с ч.8 ст.27.1 Федерального закона от 12.04.2010 N 61-ФЗ «Об обращении лекарственных средств».     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/>
      </w:pPr>
      <w:r>
        <w:rPr>
          <w:bCs/>
          <w:sz w:val="22"/>
          <w:szCs w:val="22"/>
        </w:rPr>
        <w:t xml:space="preserve">В случае зак</w:t>
      </w:r>
      <w:r>
        <w:rPr>
          <w:bCs/>
          <w:sz w:val="22"/>
          <w:szCs w:val="22"/>
        </w:rPr>
        <w:t xml:space="preserve">упки лекарственных препаратов, включенных в перечень ЖНВЛП, каждая предлагаемая участником закупки к поставке лекарственная форма препарата должна быть отдельно утверждена в перечне ЖНВЛП для признания её эквивалентности другим формам этого же препарата.  </w:t>
      </w:r>
      <w:r/>
    </w:p>
    <w:p>
      <w:pPr>
        <w:pStyle w:val="727"/>
        <w:numPr>
          <w:ilvl w:val="0"/>
          <w:numId w:val="4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В случае если в п.10.1 настоящего приложения к извещению о закупке установлено требование предост</w:t>
      </w:r>
      <w:r>
        <w:rPr>
          <w:sz w:val="22"/>
          <w:szCs w:val="22"/>
        </w:rPr>
        <w:t xml:space="preserve">авления лицензии или иного документа, подтверждающего соответствие участника закупки требованиям законодательства и лицензируемые виды деятельности не являются самостоятельным объектом закупки, а согласно условиям проекта контракта исполнитель (подрядчик) </w:t>
      </w:r>
      <w:r>
        <w:rPr>
          <w:sz w:val="22"/>
          <w:szCs w:val="22"/>
        </w:rPr>
        <w:t xml:space="preserve">вправе привлечь к исполнению контракта иных лиц (соисполнителей, субподрядчиков), участник закупки, не имеющий указанного документа, но намеревающийся исполнять лицензируемый вид деятельности (иную деятельность, право на выполнение которых требуется подтве</w:t>
      </w:r>
      <w:r>
        <w:rPr>
          <w:sz w:val="22"/>
          <w:szCs w:val="22"/>
        </w:rPr>
        <w:t xml:space="preserve">рдить) с привлечением соисполнителей (субподрядчиков), должен предоставить в составе заявки указанный документ, выданный на имя соисполнителя (субподрядчика), с которым участник закупки заключил или намерен заключить договор соисполнительства (субподряда).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hd w:val="clear" w:color="auto" w:fill="ffffff"/>
        <w:spacing/>
        <w:ind w:right="100" w:firstLine="0" w:left="1070"/>
        <w:jc w:val="both"/>
        <w:rPr>
          <w:bCs/>
          <w:i/>
          <w:highlight w:val="none"/>
        </w:rPr>
      </w:pPr>
      <w:r>
        <w:rPr>
          <w:i/>
        </w:rPr>
        <w:t xml:space="preserve">Документами, подтверждающими  наличие у участника лицензии является  либо выписка из реестра лицензий, либо копия акта лицензирующего органа о принятом решении либо иной док</w:t>
      </w:r>
      <w:r>
        <w:rPr>
          <w:i/>
        </w:rPr>
        <w:t xml:space="preserve">умент, содержащий сведения, обеспечивающие возможность подтверждения наличия соответствующей записи в реестре лицензий. При этом в указанном ином документе должны быть указаны в том числе номер реестровой записи в реестре лицензий и  ссылка на официальный </w:t>
      </w:r>
      <w:r>
        <w:rPr>
          <w:i/>
        </w:rPr>
        <w:t xml:space="preserve">сайт в сети Интернет (или адрес сайта) лицензирующего органа, на котором размещен реестр выданных лицензий, в котором содержится соответствующая запись. В случае отсутствия данной информации в указанном документе и отсутствием в связи с этим у комиссии по </w:t>
      </w:r>
      <w:r>
        <w:rPr>
          <w:i/>
        </w:rPr>
        <w:t xml:space="preserve">осуществлению закупки возможности осуществления проверки наличия сведений об участники закупки в реестре лицензий,  комиссия по осуществлению закупки  вправе признать заявку такого участника несоответствующей требованиям извещения об осуществлении закупки.</w:t>
      </w:r>
      <w:r>
        <w:rPr>
          <w:bCs/>
          <w:i/>
          <w:highlight w:val="none"/>
        </w:rPr>
      </w:r>
      <w:r>
        <w:rPr>
          <w:bCs/>
          <w:i/>
          <w:highlight w:val="none"/>
        </w:rPr>
      </w:r>
    </w:p>
    <w:p>
      <w:pPr>
        <w:pStyle w:val="727"/>
        <w:spacing/>
        <w:ind w:right="100" w:firstLine="0" w:left="1070"/>
        <w:jc w:val="both"/>
        <w:rPr/>
      </w:pPr>
      <w:r>
        <w:t xml:space="preserve">При осуществлении закупок услуг по проведению медицинских       осмотров, условия контрактов (договоров) которых предусматривают </w:t>
      </w:r>
      <w:r>
        <w:t xml:space="preserve">      возможность оказания услуг мобильными бригадами, подача участником       закупки, имеющим лицензию на право осуществления медицинской       деятельности (медосмотров) в месте, не соответствующим условиям       закупки, означает (подтверждает) наличие</w:t>
      </w:r>
      <w:r>
        <w:t xml:space="preserve"> у него возможности       оказания услуг в месте, соответствующим условиям закупки с       использованием мобильной бригады. При этом, участник закупки также       вправе приложить в составе заявки документы, подтверждающие       наличие мобильной бригады.</w:t>
      </w:r>
      <w:r/>
    </w:p>
    <w:p>
      <w:pPr>
        <w:pStyle w:val="727"/>
        <w:shd w:val="clear" w:color="auto" w:fill="ffffff"/>
        <w:spacing/>
        <w:ind w:right="100" w:firstLine="0" w:left="1070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7"/>
        <w:numPr>
          <w:ilvl w:val="0"/>
          <w:numId w:val="4"/>
        </w:numPr>
        <w:spacing/>
        <w:ind w:right="100" w:hanging="36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 осуществлении закупки медицинского изделия, участ</w:t>
      </w:r>
      <w:r>
        <w:rPr>
          <w:bCs/>
          <w:sz w:val="22"/>
          <w:szCs w:val="22"/>
        </w:rPr>
        <w:t xml:space="preserve">ник закупки должен предоставить в составе заявки один из указанных ниже документов или сведений в отношении каждого предложенного к поставке медицинского изделия  (в случае если данный документ указан в п.10.2 настоящего приложения к извещению о закупке):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/>
        <w:ind w:right="100" w:firstLine="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-копию регистрационного удостоверения;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/>
        <w:ind w:right="100" w:firstLine="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-выписку из Государственного реестра медицинских изделий, выданную Росздравнадзором в соответствии с требованиями постановления Правительства РФ от 30.09.2021 № 1650;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/>
        <w:ind w:right="100" w:firstLine="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сведения о номере регистрационного удостоверения;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/>
        <w:ind w:right="100" w:firstLine="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копию документа, выданн</w:t>
      </w:r>
      <w:r>
        <w:rPr>
          <w:bCs/>
          <w:sz w:val="22"/>
          <w:szCs w:val="22"/>
        </w:rPr>
        <w:t xml:space="preserve">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МИ, указанных в ПП РФ №430). 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 w:after="240" w:before="0"/>
        <w:ind w:right="100" w:firstLine="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-номер реестровой записи в Государственном реестре медицинских изделий.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 w:after="240" w:before="0"/>
        <w:ind w:right="100" w:firstLine="0" w:left="107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 этом в случае закупки принадлежности к медицинскому изделию, участник закупки вправе представить в составе заявки регистрационное удостоверение на медицинское изделие, принадлежностью которого является объект закупки.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418"/>
        </w:tabs>
        <w:spacing/>
        <w:ind w:right="136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418"/>
        </w:tabs>
        <w:spacing/>
        <w:ind w:right="136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tabs>
          <w:tab w:val="left" w:leader="none" w:pos="426"/>
          <w:tab w:val="clear" w:leader="none" w:pos="708"/>
          <w:tab w:val="left" w:leader="none" w:pos="1418"/>
        </w:tabs>
        <w:spacing/>
        <w:ind w:right="136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При несоблю</w:t>
      </w:r>
      <w:r>
        <w:rPr>
          <w:bCs/>
          <w:sz w:val="22"/>
          <w:szCs w:val="22"/>
        </w:rPr>
        <w:t xml:space="preserve">дении указанных требований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7"/>
        <w:spacing/>
        <w:ind w:right="136" w:firstLine="0" w:left="34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568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2" w:firstLine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№ 3 к Извещению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29"/>
        <w:tabs>
          <w:tab w:val="clear" w:leader="none" w:pos="708"/>
          <w:tab w:val="left" w:leader="none" w:pos="10915"/>
        </w:tabs>
        <w:spacing/>
        <w:ind w:right="-2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27"/>
        <w:spacing/>
        <w:ind w:right="-2" w:firstLine="0"/>
        <w:jc w:val="center"/>
        <w:rPr>
          <w:b/>
        </w:rPr>
      </w:pPr>
      <w:r>
        <w:rPr>
          <w:b/>
        </w:rPr>
        <w:t xml:space="preserve">Декларация соответствия Участника закупки требованиям извещения о проведении запроса котировок</w:t>
      </w:r>
      <w:r>
        <w:rPr>
          <w:b/>
        </w:rPr>
      </w:r>
      <w:r>
        <w:rPr>
          <w:b/>
        </w:rPr>
      </w:r>
    </w:p>
    <w:p>
      <w:pPr>
        <w:pStyle w:val="727"/>
        <w:spacing/>
        <w:ind w:right="-2" w:firstLine="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 w:afterAutospacing="1" w:beforeAutospacing="1"/>
        <w:ind w:right="-2" w:firstLine="0" w:left="-567"/>
        <w:jc w:val="both"/>
        <w:rPr/>
      </w:pPr>
      <w:r>
        <w:rPr>
          <w:lang w:eastAsia="ar-SA"/>
        </w:rPr>
        <w:t xml:space="preserve">         </w:t>
      </w:r>
      <w:r>
        <w:rPr>
          <w:lang w:eastAsia="ar-SA"/>
        </w:rPr>
        <w:t xml:space="preserve">Настоящей декларацией подтверждаем, что   участник закупки на дату подачи заявки на участие в закупке соответствует требованиям, установленным подпунктами 2-6, 9, 10, 12, 13 пункта 8  Приложения №1 к Извещению о закупке.</w:t>
      </w:r>
      <w:r/>
    </w:p>
    <w:p>
      <w:pPr>
        <w:pStyle w:val="727"/>
        <w:tabs>
          <w:tab w:val="clear" w:leader="none" w:pos="708"/>
          <w:tab w:val="left" w:leader="none" w:pos="8364"/>
        </w:tabs>
        <w:spacing w:afterAutospacing="1" w:beforeAutospacing="1"/>
        <w:ind w:firstLine="0" w:left="-567"/>
        <w:jc w:val="both"/>
        <w:rPr>
          <w:lang w:eastAsia="ar-SA"/>
        </w:rPr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7"/>
        <w:spacing/>
        <w:ind/>
        <w:jc w:val="right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h="16838" w:orient="portrait" w:w="11906"/>
      <w:pgMar w:top="709" w:right="851" w:bottom="1134" w:left="1701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GaramondNarrowC">
    <w:panose1 w:val="02020404030301010803"/>
  </w:font>
  <w:font w:name="Noto Sans Devanagari">
    <w:panose1 w:val="020B0502040504020204"/>
  </w:font>
  <w:font w:name="Cambria">
    <w:panose1 w:val="02040503050406030204"/>
  </w:font>
  <w:font w:name="DejaVu Sans Mono">
    <w:panose1 w:val="020B0706030804020204"/>
  </w:font>
  <w:font w:name="Tahoma">
    <w:panose1 w:val="020B0604030504040204"/>
  </w:font>
  <w:font w:name="Symbol">
    <w:panose1 w:val="05050102010706020507"/>
  </w:font>
  <w:font w:name="Wingdings">
    <w:panose1 w:val="05000000000000000000"/>
  </w:font>
  <w:font w:name="Lucida Sans">
    <w:panose1 w:val="020B0602030504020204"/>
  </w:font>
  <w:font w:name="Courier New">
    <w:panose1 w:val="02070309020205020404"/>
  </w:font>
  <w:font w:name="OpenSymbol">
    <w:panose1 w:val="05010000000000000000"/>
  </w:font>
  <w:font w:name="Calibri">
    <w:panose1 w:val="020F0502020204030204"/>
  </w:font>
  <w:font w:name="Segoe UI">
    <w:panose1 w:val="020B0502040204020203"/>
  </w:font>
  <w:font w:name="Andale Sans UI">
    <w:panose1 w:val="05040102010807070707"/>
  </w:font>
  <w:font w:name="DejaVu Sans">
    <w:panose1 w:val="020B0602030504020204"/>
  </w:font>
  <w:font w:name="font313">
    <w:panose1 w:val="05040102010807070707"/>
  </w:font>
  <w:font w:name="Arial">
    <w:panose1 w:val="020B0604020202020204"/>
  </w:font>
  <w:font w:name="PT Astra Serif">
    <w:panose1 w:val="05040102010807070707"/>
  </w:font>
  <w:font w:name="Calibri Light">
    <w:panose1 w:val="020F030202020403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576" w:left="576"/>
      </w:pPr>
      <w:pStyle w:val="729"/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928"/>
        </w:tabs>
        <w:spacing/>
        <w:ind w:hanging="360" w:left="928"/>
      </w:pPr>
      <w:pStyle w:val="948"/>
      <w:rPr>
        <w:b/>
        <w:i w:val="0"/>
        <w:color w:val="auto"/>
        <w:sz w:val="24"/>
        <w:szCs w:val="24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>
        <w:rFonts w:cs="Times New Roman"/>
      </w:rPr>
      <w:start w:val="1"/>
      <w:suff w:val="nothing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215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87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359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431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503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75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647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7190"/>
      </w:pPr>
      <w:rPr/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6396"/>
        </w:tabs>
        <w:spacing/>
        <w:ind w:hanging="360" w:left="6396"/>
      </w:pPr>
      <w:pStyle w:val="1028"/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7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1">
    <w:name w:val="Intense Emphasis"/>
    <w:basedOn w:val="7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2">
    <w:name w:val="Intense Reference"/>
    <w:basedOn w:val="7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3">
    <w:name w:val="Subtle Emphasis"/>
    <w:basedOn w:val="7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4">
    <w:name w:val="Subtle Reference"/>
    <w:basedOn w:val="7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25">
    <w:name w:val="Book Title"/>
    <w:basedOn w:val="74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26">
    <w:name w:val="Placeholder Text"/>
    <w:basedOn w:val="748"/>
    <w:uiPriority w:val="99"/>
    <w:semiHidden/>
    <w:pPr>
      <w:pBdr/>
      <w:spacing/>
      <w:ind/>
    </w:pPr>
    <w:rPr>
      <w:color w:val="666666"/>
    </w:rPr>
  </w:style>
  <w:style w:type="paragraph" w:styleId="727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28">
    <w:name w:val="Heading 1"/>
    <w:basedOn w:val="727"/>
    <w:next w:val="727"/>
    <w:link w:val="780"/>
    <w:qFormat/>
    <w:pPr>
      <w:keepNext w:val="true"/>
      <w:keepLines w:val="true"/>
      <w:pBdr/>
      <w:spacing w:after="0" w:before="240"/>
      <w:ind/>
      <w:outlineLvl w:val="0"/>
    </w:pPr>
    <w:rPr>
      <w:rFonts w:ascii="Calibri Light" w:hAnsi="Calibri Light" w:eastAsia="Arial" w:cs="Arial"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29">
    <w:name w:val="Heading 2"/>
    <w:next w:val="905"/>
    <w:link w:val="771"/>
    <w:qFormat/>
    <w:pPr>
      <w:keepNext w:val="true"/>
      <w:widowControl w:val="false"/>
      <w:numPr>
        <w:ilvl w:val="1"/>
        <w:numId w:val="1"/>
      </w:numPr>
      <w:pBdr/>
      <w:spacing w:after="0" w:before="120" w:line="100" w:lineRule="atLeast"/>
      <w:ind/>
      <w:jc w:val="center"/>
      <w:outlineLvl w:val="1"/>
    </w:pPr>
    <w:rPr>
      <w:rFonts w:ascii="Times New Roman" w:hAnsi="Times New Roman" w:eastAsia="DejaVu Sans" w:cs="font313"/>
      <w:b/>
      <w:color w:val="auto"/>
      <w:sz w:val="32"/>
      <w:szCs w:val="32"/>
      <w:lang w:val="ru-RU" w:eastAsia="zh-CN" w:bidi="ar-SA"/>
    </w:rPr>
  </w:style>
  <w:style w:type="paragraph" w:styleId="730">
    <w:name w:val="Heading 3"/>
    <w:basedOn w:val="727"/>
    <w:next w:val="727"/>
    <w:link w:val="778"/>
    <w:unhideWhenUsed/>
    <w:qFormat/>
    <w:pPr>
      <w:keepNext w:val="true"/>
      <w:keepLines w:val="true"/>
      <w:pBdr/>
      <w:spacing w:after="0" w:before="40"/>
      <w:ind/>
      <w:outlineLvl w:val="2"/>
    </w:pPr>
    <w:rPr>
      <w:rFonts w:ascii="Calibri Light" w:hAnsi="Calibri Light" w:eastAsia="Arial" w:cs="Arial" w:asciiTheme="majorHAnsi" w:hAnsiTheme="majorHAnsi" w:eastAsiaTheme="majorEastAsia" w:cstheme="majorBidi"/>
      <w:color w:val="1f4d78" w:themeColor="accent1" w:themeShade="7F"/>
    </w:rPr>
  </w:style>
  <w:style w:type="paragraph" w:styleId="731">
    <w:name w:val="Heading 4"/>
    <w:basedOn w:val="727"/>
    <w:next w:val="727"/>
    <w:link w:val="796"/>
    <w:qFormat/>
    <w:pPr>
      <w:keepNext w:val="true"/>
      <w:pBdr/>
      <w:shd w:val="clear" w:color="auto" w:fill="ffffff"/>
      <w:spacing/>
      <w:ind/>
      <w:jc w:val="center"/>
      <w:outlineLvl w:val="3"/>
    </w:pPr>
    <w:rPr>
      <w:b/>
      <w:color w:val="000000"/>
      <w:lang w:eastAsia="zh-CN"/>
    </w:rPr>
  </w:style>
  <w:style w:type="paragraph" w:styleId="732">
    <w:name w:val="Heading 5"/>
    <w:basedOn w:val="727"/>
    <w:next w:val="727"/>
    <w:link w:val="797"/>
    <w:uiPriority w:val="9"/>
    <w:qFormat/>
    <w:pPr>
      <w:keepNext w:val="true"/>
      <w:pBdr/>
      <w:shd w:val="clear" w:color="auto" w:fill="ffffff"/>
      <w:tabs>
        <w:tab w:val="left" w:leader="none" w:pos="480"/>
        <w:tab w:val="clear" w:leader="none" w:pos="708"/>
      </w:tabs>
      <w:spacing/>
      <w:ind w:right="-22" w:firstLine="0"/>
      <w:jc w:val="center"/>
      <w:outlineLvl w:val="4"/>
    </w:pPr>
    <w:rPr>
      <w:b/>
      <w:color w:val="000000"/>
      <w:lang w:eastAsia="zh-CN"/>
    </w:rPr>
  </w:style>
  <w:style w:type="paragraph" w:styleId="733">
    <w:name w:val="Heading 6"/>
    <w:basedOn w:val="727"/>
    <w:next w:val="727"/>
    <w:link w:val="798"/>
    <w:uiPriority w:val="9"/>
    <w:qFormat/>
    <w:pPr>
      <w:keepNext w:val="true"/>
      <w:pBdr/>
      <w:shd w:val="clear" w:color="auto" w:fill="ffffff"/>
      <w:tabs>
        <w:tab w:val="clear" w:leader="none" w:pos="708"/>
        <w:tab w:val="left" w:leader="none" w:pos="928"/>
      </w:tabs>
      <w:spacing/>
      <w:ind w:hanging="360" w:left="928"/>
      <w:jc w:val="center"/>
      <w:outlineLvl w:val="5"/>
    </w:pPr>
    <w:rPr>
      <w:b/>
      <w:color w:val="000000"/>
      <w:lang w:eastAsia="zh-CN"/>
    </w:rPr>
  </w:style>
  <w:style w:type="paragraph" w:styleId="734">
    <w:name w:val="Heading 7"/>
    <w:basedOn w:val="727"/>
    <w:next w:val="727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727"/>
    <w:next w:val="727"/>
    <w:link w:val="799"/>
    <w:uiPriority w:val="9"/>
    <w:qFormat/>
    <w:pPr>
      <w:keepNext w:val="true"/>
      <w:pBdr/>
      <w:spacing/>
      <w:ind/>
      <w:outlineLvl w:val="7"/>
    </w:pPr>
    <w:rPr>
      <w:b/>
      <w:sz w:val="18"/>
      <w:szCs w:val="20"/>
      <w:lang w:eastAsia="zh-CN"/>
    </w:rPr>
  </w:style>
  <w:style w:type="paragraph" w:styleId="736">
    <w:name w:val="Heading 9"/>
    <w:basedOn w:val="727"/>
    <w:next w:val="727"/>
    <w:link w:val="75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>
    <w:name w:val="Heading 7 Char"/>
    <w:basedOn w:val="748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9 Char"/>
    <w:basedOn w:val="748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Title Char"/>
    <w:basedOn w:val="748"/>
    <w:uiPriority w:val="10"/>
    <w:qFormat/>
    <w:pPr>
      <w:pBdr/>
      <w:spacing/>
      <w:ind/>
    </w:pPr>
    <w:rPr>
      <w:sz w:val="48"/>
      <w:szCs w:val="48"/>
    </w:rPr>
  </w:style>
  <w:style w:type="character" w:styleId="740">
    <w:name w:val="Subtitle Char"/>
    <w:basedOn w:val="748"/>
    <w:uiPriority w:val="11"/>
    <w:qFormat/>
    <w:pPr>
      <w:pBdr/>
      <w:spacing/>
      <w:ind/>
    </w:pPr>
    <w:rPr>
      <w:sz w:val="24"/>
      <w:szCs w:val="24"/>
    </w:rPr>
  </w:style>
  <w:style w:type="character" w:styleId="741">
    <w:name w:val="Quote Char"/>
    <w:link w:val="911"/>
    <w:uiPriority w:val="29"/>
    <w:qFormat/>
    <w:pPr>
      <w:pBdr/>
      <w:spacing/>
      <w:ind/>
    </w:pPr>
    <w:rPr>
      <w:i/>
    </w:rPr>
  </w:style>
  <w:style w:type="character" w:styleId="742">
    <w:name w:val="Intense Quote Char"/>
    <w:link w:val="912"/>
    <w:uiPriority w:val="30"/>
    <w:qFormat/>
    <w:pPr>
      <w:pBdr/>
      <w:spacing/>
      <w:ind/>
    </w:pPr>
    <w:rPr>
      <w:i/>
    </w:rPr>
  </w:style>
  <w:style w:type="character" w:styleId="743">
    <w:name w:val="Header Char"/>
    <w:basedOn w:val="748"/>
    <w:uiPriority w:val="99"/>
    <w:qFormat/>
    <w:pPr>
      <w:pBdr/>
      <w:spacing/>
      <w:ind/>
    </w:pPr>
  </w:style>
  <w:style w:type="character" w:styleId="744">
    <w:name w:val="Footer Char"/>
    <w:basedOn w:val="748"/>
    <w:uiPriority w:val="99"/>
    <w:qFormat/>
    <w:pPr>
      <w:pBdr/>
      <w:spacing/>
      <w:ind/>
    </w:pPr>
  </w:style>
  <w:style w:type="character" w:styleId="745">
    <w:name w:val="Caption Char"/>
    <w:basedOn w:val="748"/>
    <w:uiPriority w:val="35"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46">
    <w:name w:val="Footnote Text Char"/>
    <w:uiPriority w:val="99"/>
    <w:qFormat/>
    <w:pPr>
      <w:pBdr/>
      <w:spacing/>
      <w:ind/>
    </w:pPr>
    <w:rPr>
      <w:sz w:val="18"/>
    </w:rPr>
  </w:style>
  <w:style w:type="character" w:styleId="747">
    <w:name w:val="Endnote Text Char"/>
    <w:uiPriority w:val="99"/>
    <w:qFormat/>
    <w:pPr>
      <w:pBdr/>
      <w:spacing/>
      <w:ind/>
    </w:pPr>
    <w:rPr>
      <w:sz w:val="20"/>
    </w:rPr>
  </w:style>
  <w:style w:type="character" w:styleId="748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49" w:customStyle="1">
    <w:name w:val="Heading 1 Char"/>
    <w:basedOn w:val="748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0" w:customStyle="1">
    <w:name w:val="Heading 2 Char"/>
    <w:basedOn w:val="748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51" w:customStyle="1">
    <w:name w:val="Heading 3 Char"/>
    <w:basedOn w:val="748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2" w:customStyle="1">
    <w:name w:val="Heading 4 Char"/>
    <w:basedOn w:val="748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Heading 5 Char"/>
    <w:basedOn w:val="748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Heading 6 Char"/>
    <w:basedOn w:val="748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Заголовок 7 Знак"/>
    <w:basedOn w:val="748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Heading 8 Char"/>
    <w:basedOn w:val="748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Заголовок 9 Знак"/>
    <w:basedOn w:val="748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58" w:customStyle="1">
    <w:name w:val="Заголовок Знак"/>
    <w:basedOn w:val="748"/>
    <w:qFormat/>
    <w:pPr>
      <w:pBdr/>
      <w:spacing/>
      <w:ind/>
    </w:pPr>
    <w:rPr>
      <w:sz w:val="48"/>
      <w:szCs w:val="48"/>
    </w:rPr>
  </w:style>
  <w:style w:type="character" w:styleId="759" w:customStyle="1">
    <w:name w:val="Подзаголовок Знак"/>
    <w:basedOn w:val="748"/>
    <w:qFormat/>
    <w:pPr>
      <w:pBdr/>
      <w:spacing/>
      <w:ind/>
    </w:pPr>
    <w:rPr>
      <w:sz w:val="24"/>
      <w:szCs w:val="24"/>
    </w:rPr>
  </w:style>
  <w:style w:type="character" w:styleId="760" w:customStyle="1">
    <w:name w:val="Цитата 2 Знак"/>
    <w:link w:val="911"/>
    <w:uiPriority w:val="29"/>
    <w:qFormat/>
    <w:pPr>
      <w:pBdr/>
      <w:spacing/>
      <w:ind/>
    </w:pPr>
    <w:rPr>
      <w:i/>
    </w:rPr>
  </w:style>
  <w:style w:type="character" w:styleId="761" w:customStyle="1">
    <w:name w:val="Выделенная цитата Знак"/>
    <w:link w:val="912"/>
    <w:uiPriority w:val="30"/>
    <w:qFormat/>
    <w:pPr>
      <w:pBdr/>
      <w:spacing/>
      <w:ind/>
    </w:pPr>
    <w:rPr>
      <w:i/>
    </w:rPr>
  </w:style>
  <w:style w:type="character" w:styleId="762" w:customStyle="1">
    <w:name w:val="Верхний колонтитул Знак1"/>
    <w:basedOn w:val="748"/>
    <w:qFormat/>
    <w:pPr>
      <w:pBdr/>
      <w:spacing/>
      <w:ind/>
    </w:pPr>
  </w:style>
  <w:style w:type="character" w:styleId="763" w:customStyle="1">
    <w:name w:val="Нижний колонтитул Знак1"/>
    <w:basedOn w:val="748"/>
    <w:qFormat/>
    <w:pPr>
      <w:pBdr/>
      <w:spacing/>
      <w:ind/>
    </w:pPr>
  </w:style>
  <w:style w:type="character" w:styleId="764" w:customStyle="1">
    <w:name w:val="Название объекта Знак"/>
    <w:basedOn w:val="748"/>
    <w:uiPriority w:val="35"/>
    <w:qFormat/>
    <w:pPr>
      <w:pBdr/>
      <w:spacing/>
      <w:ind/>
    </w:pPr>
    <w:rPr>
      <w:b/>
      <w:bCs/>
      <w:color w:val="5b9bd5" w:themeColor="accent1"/>
      <w:sz w:val="18"/>
      <w:szCs w:val="18"/>
    </w:rPr>
  </w:style>
  <w:style w:type="character" w:styleId="765" w:customStyle="1">
    <w:name w:val="Текст сноски Знак1"/>
    <w:uiPriority w:val="99"/>
    <w:qFormat/>
    <w:pPr>
      <w:pBdr/>
      <w:spacing/>
      <w:ind/>
    </w:pPr>
    <w:rPr>
      <w:sz w:val="18"/>
    </w:rPr>
  </w:style>
  <w:style w:type="character" w:styleId="766" w:customStyle="1">
    <w:name w:val="Текст концевой сноски Знак"/>
    <w:uiPriority w:val="99"/>
    <w:qFormat/>
    <w:pPr>
      <w:pBdr/>
      <w:spacing/>
      <w:ind/>
    </w:pPr>
    <w:rPr>
      <w:sz w:val="20"/>
    </w:rPr>
  </w:style>
  <w:style w:type="character" w:styleId="767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68">
    <w:name w:val="endnote reference"/>
    <w:pPr>
      <w:pBdr/>
      <w:spacing/>
      <w:ind/>
    </w:pPr>
    <w:rPr>
      <w:vertAlign w:val="superscript"/>
    </w:rPr>
  </w:style>
  <w:style w:type="character" w:styleId="769" w:customStyle="1">
    <w:name w:val="Верхний колонтитул Знак"/>
    <w:basedOn w:val="748"/>
    <w:qFormat/>
    <w:pPr>
      <w:pBdr/>
      <w:spacing/>
      <w:ind/>
    </w:pPr>
  </w:style>
  <w:style w:type="character" w:styleId="770" w:customStyle="1">
    <w:name w:val="Нижний колонтитул Знак"/>
    <w:basedOn w:val="748"/>
    <w:qFormat/>
    <w:pPr>
      <w:pBdr/>
      <w:spacing/>
      <w:ind/>
    </w:pPr>
  </w:style>
  <w:style w:type="character" w:styleId="771" w:customStyle="1">
    <w:name w:val="Заголовок 2 Знак"/>
    <w:basedOn w:val="748"/>
    <w:qFormat/>
    <w:pPr>
      <w:pBdr/>
      <w:spacing/>
      <w:ind/>
    </w:pPr>
    <w:rPr>
      <w:rFonts w:ascii="Times New Roman" w:hAnsi="Times New Roman" w:eastAsia="DejaVu Sans" w:cs="font313"/>
      <w:b/>
      <w:sz w:val="32"/>
      <w:szCs w:val="32"/>
      <w:lang w:eastAsia="zh-CN"/>
    </w:rPr>
  </w:style>
  <w:style w:type="character" w:styleId="772" w:customStyle="1">
    <w:name w:val="Hyperlink"/>
    <w:pPr>
      <w:pBdr/>
      <w:spacing/>
      <w:ind/>
    </w:pPr>
    <w:rPr>
      <w:color w:val="0000ff"/>
      <w:u w:val="single"/>
    </w:rPr>
  </w:style>
  <w:style w:type="character" w:styleId="773" w:customStyle="1">
    <w:name w:val="apple-converted-space"/>
    <w:basedOn w:val="748"/>
    <w:qFormat/>
    <w:pPr>
      <w:pBdr/>
      <w:spacing/>
      <w:ind/>
    </w:pPr>
  </w:style>
  <w:style w:type="character" w:styleId="774" w:customStyle="1">
    <w:name w:val="Основной текст Знак"/>
    <w:qFormat/>
    <w:pPr>
      <w:pBdr/>
      <w:spacing/>
      <w:ind/>
    </w:pPr>
    <w:rPr>
      <w:rFonts w:ascii="Calibri" w:hAnsi="Calibri" w:cs="Calibri"/>
      <w:sz w:val="22"/>
      <w:szCs w:val="22"/>
    </w:rPr>
  </w:style>
  <w:style w:type="character" w:styleId="775" w:customStyle="1">
    <w:name w:val="Font Style128"/>
    <w:qFormat/>
    <w:pPr>
      <w:pBdr/>
      <w:spacing/>
      <w:ind/>
    </w:pPr>
    <w:rPr>
      <w:rFonts w:ascii="Times New Roman" w:hAnsi="Times New Roman" w:cs="Times New Roman"/>
      <w:color w:val="000000"/>
      <w:sz w:val="26"/>
      <w:szCs w:val="26"/>
    </w:rPr>
  </w:style>
  <w:style w:type="character" w:styleId="776" w:customStyle="1">
    <w:name w:val="Без интервала Знак"/>
    <w:link w:val="929"/>
    <w:qFormat/>
    <w:pPr>
      <w:pBdr/>
      <w:spacing/>
      <w:ind/>
    </w:pPr>
    <w:rPr>
      <w:rFonts w:ascii="Calibri" w:hAnsi="Calibri" w:eastAsia="Times New Roman" w:cs="Calibri"/>
      <w:lang w:eastAsia="zh-CN"/>
    </w:rPr>
  </w:style>
  <w:style w:type="character" w:styleId="777" w:customStyle="1">
    <w:name w:val="Основной текст Знак1"/>
    <w:basedOn w:val="748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78" w:customStyle="1">
    <w:name w:val="Заголовок 3 Знак"/>
    <w:basedOn w:val="748"/>
    <w:qFormat/>
    <w:pPr>
      <w:pBdr/>
      <w:spacing/>
      <w:ind/>
    </w:pPr>
    <w:rPr>
      <w:rFonts w:ascii="Calibri Light" w:hAnsi="Calibri Light" w:eastAsia="Arial" w:cs="Arial" w:asciiTheme="majorHAnsi" w:hAnsiTheme="majorHAnsi" w:eastAsiaTheme="majorEastAsia" w:cstheme="majorBidi"/>
      <w:color w:val="1f4d78" w:themeColor="accent1" w:themeShade="7F"/>
      <w:sz w:val="24"/>
      <w:szCs w:val="24"/>
      <w:lang w:eastAsia="ru-RU"/>
    </w:rPr>
  </w:style>
  <w:style w:type="character" w:styleId="779" w:customStyle="1">
    <w:name w:val="Основной текст с отступом 2 Знак"/>
    <w:basedOn w:val="748"/>
    <w:link w:val="936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80" w:customStyle="1">
    <w:name w:val="Заголовок 1 Знак"/>
    <w:basedOn w:val="748"/>
    <w:qFormat/>
    <w:pPr>
      <w:pBdr/>
      <w:spacing/>
      <w:ind/>
    </w:pPr>
    <w:rPr>
      <w:rFonts w:ascii="Calibri Light" w:hAnsi="Calibri Light" w:eastAsia="Arial" w:cs="Arial" w:asciiTheme="majorHAnsi" w:hAnsiTheme="majorHAnsi" w:eastAsiaTheme="majorEastAsia" w:cstheme="majorBidi"/>
      <w:color w:val="2e74b5" w:themeColor="accent1" w:themeShade="BF"/>
      <w:sz w:val="32"/>
      <w:szCs w:val="32"/>
      <w:lang w:eastAsia="ru-RU"/>
    </w:rPr>
  </w:style>
  <w:style w:type="character" w:styleId="781" w:customStyle="1">
    <w:name w:val="Основной текст (2)_"/>
    <w:basedOn w:val="748"/>
    <w:link w:val="940"/>
    <w:uiPriority w:val="99"/>
    <w:qFormat/>
    <w:pPr>
      <w:pBdr/>
      <w:spacing/>
      <w:ind/>
    </w:pPr>
    <w:rPr>
      <w:rFonts w:cs="Times New Roman"/>
      <w:shd w:val="clear" w:color="auto" w:fill="ffffff"/>
    </w:rPr>
  </w:style>
  <w:style w:type="character" w:styleId="782" w:customStyle="1">
    <w:name w:val="Основной текст (2) + 7"/>
    <w:basedOn w:val="781"/>
    <w:uiPriority w:val="99"/>
    <w:qFormat/>
    <w:pPr>
      <w:pBdr/>
      <w:spacing/>
      <w:ind/>
    </w:pPr>
    <w:rPr>
      <w:rFonts w:cs="Times New Roman"/>
      <w:color w:val="000000"/>
      <w:spacing w:val="0"/>
      <w:sz w:val="15"/>
      <w:szCs w:val="15"/>
      <w:u w:val="none"/>
      <w:shd w:val="clear" w:color="auto" w:fill="ffffff"/>
      <w:lang w:val="ru-RU" w:eastAsia="ru-RU"/>
    </w:rPr>
  </w:style>
  <w:style w:type="character" w:styleId="783" w:customStyle="1">
    <w:name w:val="Основной текст (3)_"/>
    <w:basedOn w:val="748"/>
    <w:link w:val="941"/>
    <w:uiPriority w:val="99"/>
    <w:qFormat/>
    <w:pPr>
      <w:pBdr/>
      <w:spacing/>
      <w:ind/>
    </w:pPr>
    <w:rPr>
      <w:rFonts w:cs="Times New Roman"/>
      <w:sz w:val="16"/>
      <w:szCs w:val="16"/>
      <w:shd w:val="clear" w:color="auto" w:fill="ffffff"/>
    </w:rPr>
  </w:style>
  <w:style w:type="character" w:styleId="784" w:customStyle="1">
    <w:name w:val="Основной текст (3) Exact"/>
    <w:basedOn w:val="748"/>
    <w:uiPriority w:val="99"/>
    <w:qFormat/>
    <w:pPr>
      <w:pBdr/>
      <w:spacing/>
      <w:ind/>
    </w:pPr>
    <w:rPr>
      <w:rFonts w:ascii="Times New Roman" w:hAnsi="Times New Roman" w:cs="Times New Roman"/>
      <w:sz w:val="16"/>
      <w:szCs w:val="16"/>
      <w:u w:val="none"/>
    </w:rPr>
  </w:style>
  <w:style w:type="character" w:styleId="785" w:customStyle="1">
    <w:name w:val="Основной текст (12) Exact"/>
    <w:basedOn w:val="748"/>
    <w:link w:val="942"/>
    <w:uiPriority w:val="99"/>
    <w:qFormat/>
    <w:pPr>
      <w:pBdr/>
      <w:spacing/>
      <w:ind/>
    </w:pPr>
    <w:rPr>
      <w:rFonts w:cs="Times New Roman"/>
      <w:sz w:val="19"/>
      <w:szCs w:val="19"/>
      <w:shd w:val="clear" w:color="auto" w:fill="ffffff"/>
    </w:rPr>
  </w:style>
  <w:style w:type="character" w:styleId="786" w:customStyle="1">
    <w:name w:val="Основной текст (13) Exact"/>
    <w:basedOn w:val="748"/>
    <w:link w:val="943"/>
    <w:uiPriority w:val="99"/>
    <w:qFormat/>
    <w:pPr>
      <w:pBdr/>
      <w:spacing/>
      <w:ind/>
    </w:pPr>
    <w:rPr>
      <w:rFonts w:ascii="Arial" w:hAnsi="Arial" w:cs="Arial"/>
      <w:shd w:val="clear" w:color="auto" w:fill="ffffff"/>
    </w:rPr>
  </w:style>
  <w:style w:type="character" w:styleId="787" w:customStyle="1">
    <w:name w:val="Текст сноски Знак"/>
    <w:basedOn w:val="748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788">
    <w:name w:val="Символ сноски"/>
    <w:uiPriority w:val="99"/>
    <w:qFormat/>
    <w:pPr>
      <w:pBdr/>
      <w:spacing/>
      <w:ind/>
    </w:pPr>
    <w:rPr>
      <w:vertAlign w:val="superscript"/>
    </w:rPr>
  </w:style>
  <w:style w:type="character" w:styleId="789">
    <w:name w:val="footnote reference"/>
    <w:pPr>
      <w:pBdr/>
      <w:spacing/>
      <w:ind/>
    </w:pPr>
    <w:rPr>
      <w:vertAlign w:val="superscript"/>
    </w:rPr>
  </w:style>
  <w:style w:type="character" w:styleId="790" w:customStyle="1">
    <w:name w:val="Основной шрифт абзаца1"/>
    <w:qFormat/>
    <w:pPr>
      <w:pBdr/>
      <w:spacing/>
      <w:ind/>
    </w:pPr>
  </w:style>
  <w:style w:type="character" w:styleId="791">
    <w:name w:val="annotation reference"/>
    <w:qFormat/>
    <w:pPr>
      <w:pBdr/>
      <w:spacing/>
      <w:ind/>
    </w:pPr>
    <w:rPr>
      <w:sz w:val="16"/>
      <w:szCs w:val="16"/>
    </w:rPr>
  </w:style>
  <w:style w:type="character" w:styleId="792" w:customStyle="1">
    <w:name w:val="Текст примечания Знак"/>
    <w:basedOn w:val="748"/>
    <w:link w:val="946"/>
    <w:qFormat/>
    <w:pPr>
      <w:pBdr/>
      <w:spacing/>
      <w:ind/>
    </w:pPr>
    <w:rPr>
      <w:rFonts w:ascii="Calibri" w:hAnsi="Calibri" w:cs="Times New Roman"/>
      <w:sz w:val="20"/>
      <w:szCs w:val="20"/>
    </w:rPr>
  </w:style>
  <w:style w:type="character" w:styleId="793" w:customStyle="1">
    <w:name w:val="Текст выноски Знак"/>
    <w:basedOn w:val="748"/>
    <w:link w:val="947"/>
    <w:qFormat/>
    <w:pPr>
      <w:pBdr/>
      <w:spacing/>
      <w:ind/>
    </w:pPr>
    <w:rPr>
      <w:rFonts w:ascii="Segoe UI" w:hAnsi="Segoe UI" w:eastAsia="Times New Roman" w:cs="Segoe UI"/>
      <w:sz w:val="18"/>
      <w:szCs w:val="18"/>
      <w:lang w:eastAsia="ru-RU"/>
    </w:rPr>
  </w:style>
  <w:style w:type="character" w:styleId="794" w:customStyle="1">
    <w:name w:val="Тема примечания Знак"/>
    <w:basedOn w:val="792"/>
    <w:link w:val="951"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795" w:customStyle="1">
    <w:name w:val="Абзац списка Знак"/>
    <w:basedOn w:val="748"/>
    <w:link w:val="930"/>
    <w:qFormat/>
    <w:pPr>
      <w:pBdr/>
      <w:spacing/>
      <w:ind/>
    </w:pPr>
    <w:rPr>
      <w:rFonts w:ascii="Times New Roman" w:hAnsi="Times New Roman" w:eastAsia="Calibri" w:cs="Times New Roman"/>
      <w:sz w:val="24"/>
      <w:szCs w:val="20"/>
      <w:lang w:eastAsia="zh-CN"/>
    </w:rPr>
  </w:style>
  <w:style w:type="character" w:styleId="796" w:customStyle="1">
    <w:name w:val="Заголовок 4 Знак"/>
    <w:basedOn w:val="748"/>
    <w:qFormat/>
    <w:pPr>
      <w:pBdr/>
      <w:spacing/>
      <w:ind/>
    </w:pPr>
    <w:rPr>
      <w:rFonts w:ascii="Times New Roman" w:hAnsi="Times New Roman" w:eastAsia="Times New Roman" w:cs="Times New Roman"/>
      <w:b/>
      <w:color w:val="000000"/>
      <w:sz w:val="24"/>
      <w:szCs w:val="24"/>
      <w:shd w:val="clear" w:color="auto" w:fill="ffffff"/>
      <w:lang w:eastAsia="zh-CN"/>
    </w:rPr>
  </w:style>
  <w:style w:type="character" w:styleId="797" w:customStyle="1">
    <w:name w:val="Заголовок 5 Знак"/>
    <w:basedOn w:val="748"/>
    <w:uiPriority w:val="9"/>
    <w:qFormat/>
    <w:pPr>
      <w:pBdr/>
      <w:spacing/>
      <w:ind/>
    </w:pPr>
    <w:rPr>
      <w:rFonts w:ascii="Times New Roman" w:hAnsi="Times New Roman" w:eastAsia="Times New Roman" w:cs="Times New Roman"/>
      <w:b/>
      <w:color w:val="000000"/>
      <w:sz w:val="24"/>
      <w:szCs w:val="24"/>
      <w:shd w:val="clear" w:color="auto" w:fill="ffffff"/>
      <w:lang w:eastAsia="zh-CN"/>
    </w:rPr>
  </w:style>
  <w:style w:type="character" w:styleId="798" w:customStyle="1">
    <w:name w:val="Заголовок 6 Знак"/>
    <w:basedOn w:val="748"/>
    <w:uiPriority w:val="9"/>
    <w:qFormat/>
    <w:pPr>
      <w:pBdr/>
      <w:spacing/>
      <w:ind/>
    </w:pPr>
    <w:rPr>
      <w:rFonts w:ascii="Times New Roman" w:hAnsi="Times New Roman" w:eastAsia="Times New Roman" w:cs="Times New Roman"/>
      <w:b/>
      <w:color w:val="000000"/>
      <w:sz w:val="24"/>
      <w:szCs w:val="24"/>
      <w:shd w:val="clear" w:color="auto" w:fill="ffffff"/>
      <w:lang w:eastAsia="zh-CN"/>
    </w:rPr>
  </w:style>
  <w:style w:type="character" w:styleId="799" w:customStyle="1">
    <w:name w:val="Заголовок 8 Знак"/>
    <w:basedOn w:val="748"/>
    <w:uiPriority w:val="9"/>
    <w:qFormat/>
    <w:pPr>
      <w:pBdr/>
      <w:spacing/>
      <w:ind/>
    </w:pPr>
    <w:rPr>
      <w:rFonts w:ascii="Times New Roman" w:hAnsi="Times New Roman" w:eastAsia="Times New Roman" w:cs="Times New Roman"/>
      <w:b/>
      <w:sz w:val="18"/>
      <w:szCs w:val="20"/>
      <w:lang w:eastAsia="zh-CN"/>
    </w:rPr>
  </w:style>
  <w:style w:type="character" w:styleId="800" w:customStyle="1">
    <w:name w:val="kursiv"/>
    <w:qFormat/>
    <w:pPr>
      <w:pBdr/>
      <w:spacing/>
      <w:ind/>
    </w:pPr>
    <w:rPr>
      <w:rFonts w:ascii="Times New Roman" w:hAnsi="Times New Roman"/>
      <w:i/>
      <w:lang w:val="ru-RU"/>
    </w:rPr>
  </w:style>
  <w:style w:type="character" w:styleId="801" w:customStyle="1">
    <w:name w:val="WW8Num4z0"/>
    <w:qFormat/>
    <w:pPr>
      <w:pBdr/>
      <w:spacing/>
      <w:ind/>
    </w:pPr>
    <w:rPr>
      <w:b/>
      <w:color w:val="000000"/>
    </w:rPr>
  </w:style>
  <w:style w:type="character" w:styleId="802" w:customStyle="1">
    <w:name w:val="WW8Num7z1"/>
    <w:qFormat/>
    <w:pPr>
      <w:pBdr/>
      <w:spacing/>
      <w:ind/>
    </w:pPr>
    <w:rPr>
      <w:b/>
    </w:rPr>
  </w:style>
  <w:style w:type="character" w:styleId="803" w:customStyle="1">
    <w:name w:val="WW8Num8z1"/>
    <w:qFormat/>
    <w:pPr>
      <w:pBdr/>
      <w:spacing/>
      <w:ind/>
    </w:pPr>
    <w:rPr>
      <w:b/>
    </w:rPr>
  </w:style>
  <w:style w:type="character" w:styleId="804" w:customStyle="1">
    <w:name w:val="WW8Num9z0"/>
    <w:qFormat/>
    <w:pPr>
      <w:pBdr/>
      <w:spacing/>
      <w:ind/>
    </w:pPr>
    <w:rPr>
      <w:b/>
      <w:color w:val="000000"/>
    </w:rPr>
  </w:style>
  <w:style w:type="character" w:styleId="805" w:customStyle="1">
    <w:name w:val="Absatz-Standardschriftart"/>
    <w:qFormat/>
    <w:pPr>
      <w:pBdr/>
      <w:spacing/>
      <w:ind/>
    </w:pPr>
  </w:style>
  <w:style w:type="character" w:styleId="806" w:customStyle="1">
    <w:name w:val="WW8Num4z1"/>
    <w:qFormat/>
    <w:pPr>
      <w:pBdr/>
      <w:spacing/>
      <w:ind/>
    </w:pPr>
    <w:rPr>
      <w:b/>
    </w:rPr>
  </w:style>
  <w:style w:type="character" w:styleId="807" w:customStyle="1">
    <w:name w:val="WW8Num10z0"/>
    <w:qFormat/>
    <w:pPr>
      <w:pBdr/>
      <w:spacing/>
      <w:ind/>
    </w:pPr>
    <w:rPr>
      <w:b/>
      <w:color w:val="000000"/>
    </w:rPr>
  </w:style>
  <w:style w:type="character" w:styleId="808" w:customStyle="1">
    <w:name w:val="WW8Num10z1"/>
    <w:qFormat/>
    <w:pPr>
      <w:pBdr/>
      <w:spacing/>
      <w:ind/>
    </w:pPr>
    <w:rPr>
      <w:rFonts w:ascii="Courier New" w:hAnsi="Courier New" w:cs="Courier New"/>
      <w:sz w:val="20"/>
    </w:rPr>
  </w:style>
  <w:style w:type="character" w:styleId="809" w:customStyle="1">
    <w:name w:val="WW8Num10z2"/>
    <w:qFormat/>
    <w:pPr>
      <w:pBdr/>
      <w:spacing/>
      <w:ind/>
    </w:pPr>
    <w:rPr>
      <w:rFonts w:ascii="Wingdings" w:hAnsi="Wingdings" w:cs="Wingdings"/>
      <w:sz w:val="20"/>
    </w:rPr>
  </w:style>
  <w:style w:type="character" w:styleId="810" w:customStyle="1">
    <w:name w:val="WW8Num11z0"/>
    <w:qFormat/>
    <w:pPr>
      <w:pBdr/>
      <w:spacing/>
      <w:ind/>
    </w:pPr>
    <w:rPr>
      <w:b/>
      <w:color w:val="000000"/>
    </w:rPr>
  </w:style>
  <w:style w:type="character" w:styleId="811" w:customStyle="1">
    <w:name w:val="WW8Num16z0"/>
    <w:qFormat/>
    <w:pPr>
      <w:pBdr/>
      <w:spacing/>
      <w:ind/>
    </w:pPr>
    <w:rPr>
      <w:rFonts w:ascii="Symbol" w:hAnsi="Symbol" w:cs="Symbol"/>
      <w:sz w:val="20"/>
    </w:rPr>
  </w:style>
  <w:style w:type="character" w:styleId="812" w:customStyle="1">
    <w:name w:val="WW8Num16z1"/>
    <w:qFormat/>
    <w:pPr>
      <w:pBdr/>
      <w:spacing/>
      <w:ind/>
    </w:pPr>
    <w:rPr>
      <w:rFonts w:ascii="Courier New" w:hAnsi="Courier New" w:cs="Courier New"/>
      <w:sz w:val="20"/>
    </w:rPr>
  </w:style>
  <w:style w:type="character" w:styleId="813" w:customStyle="1">
    <w:name w:val="WW8Num16z2"/>
    <w:qFormat/>
    <w:pPr>
      <w:pBdr/>
      <w:spacing/>
      <w:ind/>
    </w:pPr>
    <w:rPr>
      <w:rFonts w:ascii="Wingdings" w:hAnsi="Wingdings" w:cs="Wingdings"/>
      <w:sz w:val="20"/>
    </w:rPr>
  </w:style>
  <w:style w:type="character" w:styleId="814" w:customStyle="1">
    <w:name w:val="WW8Num17z1"/>
    <w:qFormat/>
    <w:pPr>
      <w:pBdr/>
      <w:spacing/>
      <w:ind/>
    </w:pPr>
    <w:rPr>
      <w:b/>
    </w:rPr>
  </w:style>
  <w:style w:type="character" w:styleId="815" w:customStyle="1">
    <w:name w:val="Основной шрифт абзаца6"/>
    <w:qFormat/>
    <w:pPr>
      <w:pBdr/>
      <w:spacing/>
      <w:ind/>
    </w:pPr>
  </w:style>
  <w:style w:type="character" w:styleId="816" w:customStyle="1">
    <w:name w:val="Основной шрифт абзаца5"/>
    <w:qFormat/>
    <w:pPr>
      <w:pBdr/>
      <w:spacing/>
      <w:ind/>
    </w:pPr>
  </w:style>
  <w:style w:type="character" w:styleId="817" w:customStyle="1">
    <w:name w:val="WW-Absatz-Standardschriftart"/>
    <w:qFormat/>
    <w:pPr>
      <w:pBdr/>
      <w:spacing/>
      <w:ind/>
    </w:pPr>
  </w:style>
  <w:style w:type="character" w:styleId="818" w:customStyle="1">
    <w:name w:val="WW-Absatz-Standardschriftart1"/>
    <w:qFormat/>
    <w:pPr>
      <w:pBdr/>
      <w:spacing/>
      <w:ind/>
    </w:pPr>
  </w:style>
  <w:style w:type="character" w:styleId="819" w:customStyle="1">
    <w:name w:val="WW8Num5z0"/>
    <w:qFormat/>
    <w:pPr>
      <w:pBdr/>
      <w:spacing/>
      <w:ind/>
    </w:pPr>
    <w:rPr>
      <w:rFonts w:ascii="Symbol" w:hAnsi="Symbol" w:cs="Symbol"/>
      <w:color w:val="auto"/>
    </w:rPr>
  </w:style>
  <w:style w:type="character" w:styleId="820" w:customStyle="1">
    <w:name w:val="WW8Num5z2"/>
    <w:qFormat/>
    <w:pPr>
      <w:pBdr/>
      <w:spacing/>
      <w:ind/>
    </w:pPr>
    <w:rPr>
      <w:rFonts w:ascii="Wingdings" w:hAnsi="Wingdings" w:cs="Wingdings"/>
    </w:rPr>
  </w:style>
  <w:style w:type="character" w:styleId="821" w:customStyle="1">
    <w:name w:val="WW8Num5z3"/>
    <w:qFormat/>
    <w:pPr>
      <w:pBdr/>
      <w:spacing/>
      <w:ind/>
    </w:pPr>
    <w:rPr>
      <w:rFonts w:ascii="Symbol" w:hAnsi="Symbol" w:cs="Symbol"/>
    </w:rPr>
  </w:style>
  <w:style w:type="character" w:styleId="822" w:customStyle="1">
    <w:name w:val="WW8Num5z4"/>
    <w:qFormat/>
    <w:pPr>
      <w:pBdr/>
      <w:spacing/>
      <w:ind/>
    </w:pPr>
    <w:rPr>
      <w:rFonts w:ascii="Courier New" w:hAnsi="Courier New" w:cs="Courier New"/>
    </w:rPr>
  </w:style>
  <w:style w:type="character" w:styleId="823" w:customStyle="1">
    <w:name w:val="WW8Num11z1"/>
    <w:qFormat/>
    <w:pPr>
      <w:pBdr/>
      <w:spacing/>
      <w:ind/>
    </w:pPr>
    <w:rPr>
      <w:b w:val="0"/>
      <w:color w:val="000000"/>
    </w:rPr>
  </w:style>
  <w:style w:type="character" w:styleId="824" w:customStyle="1">
    <w:name w:val="WW-Absatz-Standardschriftart11"/>
    <w:qFormat/>
    <w:pPr>
      <w:pBdr/>
      <w:spacing/>
      <w:ind/>
    </w:pPr>
  </w:style>
  <w:style w:type="character" w:styleId="825" w:customStyle="1">
    <w:name w:val="WW-Absatz-Standardschriftart111"/>
    <w:qFormat/>
    <w:pPr>
      <w:pBdr/>
      <w:spacing/>
      <w:ind/>
    </w:pPr>
  </w:style>
  <w:style w:type="character" w:styleId="826" w:customStyle="1">
    <w:name w:val="WW-Absatz-Standardschriftart1111"/>
    <w:qFormat/>
    <w:pPr>
      <w:pBdr/>
      <w:spacing/>
      <w:ind/>
    </w:pPr>
  </w:style>
  <w:style w:type="character" w:styleId="827" w:customStyle="1">
    <w:name w:val="Основной шрифт абзаца4"/>
    <w:qFormat/>
    <w:pPr>
      <w:pBdr/>
      <w:spacing/>
      <w:ind/>
    </w:pPr>
  </w:style>
  <w:style w:type="character" w:styleId="828" w:customStyle="1">
    <w:name w:val="WW-Absatz-Standardschriftart11111"/>
    <w:qFormat/>
    <w:pPr>
      <w:pBdr/>
      <w:spacing/>
      <w:ind/>
    </w:pPr>
  </w:style>
  <w:style w:type="character" w:styleId="829" w:customStyle="1">
    <w:name w:val="Основной шрифт абзаца3"/>
    <w:qFormat/>
    <w:pPr>
      <w:pBdr/>
      <w:spacing/>
      <w:ind/>
    </w:pPr>
  </w:style>
  <w:style w:type="character" w:styleId="830" w:customStyle="1">
    <w:name w:val="Основной шрифт абзаца2"/>
    <w:qFormat/>
    <w:pPr>
      <w:pBdr/>
      <w:spacing/>
      <w:ind/>
    </w:pPr>
  </w:style>
  <w:style w:type="character" w:styleId="831" w:customStyle="1">
    <w:name w:val="WW8Num12z0"/>
    <w:qFormat/>
    <w:pPr>
      <w:pBdr/>
      <w:spacing/>
      <w:ind/>
    </w:pPr>
    <w:rPr>
      <w:b/>
      <w:color w:val="000000"/>
    </w:rPr>
  </w:style>
  <w:style w:type="character" w:styleId="832" w:customStyle="1">
    <w:name w:val="WW8Num13z0"/>
    <w:qFormat/>
    <w:pPr>
      <w:pBdr/>
      <w:spacing/>
      <w:ind/>
    </w:pPr>
    <w:rPr>
      <w:b/>
      <w:i w:val="0"/>
      <w:color w:val="000000"/>
    </w:rPr>
  </w:style>
  <w:style w:type="character" w:styleId="833" w:customStyle="1">
    <w:name w:val="WW8Num13z1"/>
    <w:qFormat/>
    <w:pPr>
      <w:pBdr/>
      <w:spacing/>
      <w:ind/>
    </w:pPr>
    <w:rPr>
      <w:b w:val="0"/>
      <w:color w:val="000000"/>
    </w:rPr>
  </w:style>
  <w:style w:type="character" w:styleId="834">
    <w:name w:val="page number"/>
    <w:basedOn w:val="790"/>
    <w:qFormat/>
    <w:pPr>
      <w:pBdr/>
      <w:spacing/>
      <w:ind/>
    </w:pPr>
  </w:style>
  <w:style w:type="character" w:styleId="835" w:customStyle="1">
    <w:name w:val="Знак примечания1"/>
    <w:qFormat/>
    <w:pPr>
      <w:pBdr/>
      <w:spacing/>
      <w:ind/>
    </w:pPr>
    <w:rPr>
      <w:sz w:val="16"/>
      <w:szCs w:val="16"/>
    </w:rPr>
  </w:style>
  <w:style w:type="character" w:styleId="836" w:customStyle="1">
    <w:name w:val="Символ нумерации"/>
    <w:qFormat/>
    <w:pPr>
      <w:pBdr/>
      <w:spacing/>
      <w:ind/>
    </w:pPr>
  </w:style>
  <w:style w:type="character" w:styleId="837">
    <w:name w:val="FollowedHyperlink"/>
    <w:pPr>
      <w:pBdr/>
      <w:spacing/>
      <w:ind/>
    </w:pPr>
    <w:rPr>
      <w:color w:val="800080"/>
      <w:u w:val="single"/>
    </w:rPr>
  </w:style>
  <w:style w:type="character" w:styleId="838" w:customStyle="1">
    <w:name w:val="Маркеры списка"/>
    <w:qFormat/>
    <w:pPr>
      <w:pBdr/>
      <w:spacing/>
      <w:ind/>
    </w:pPr>
    <w:rPr>
      <w:rFonts w:ascii="OpenSymbol" w:hAnsi="OpenSymbol" w:eastAsia="OpenSymbol" w:cs="OpenSymbol"/>
    </w:rPr>
  </w:style>
  <w:style w:type="character" w:styleId="839" w:customStyle="1">
    <w:name w:val="i-text-lowcase"/>
    <w:basedOn w:val="815"/>
    <w:qFormat/>
    <w:pPr>
      <w:pBdr/>
      <w:spacing/>
      <w:ind/>
    </w:pPr>
  </w:style>
  <w:style w:type="character" w:styleId="840" w:customStyle="1">
    <w:name w:val="Основной текст с отступом Знак"/>
    <w:basedOn w:val="748"/>
    <w:qFormat/>
    <w:pPr>
      <w:pBdr/>
      <w:spacing/>
      <w:ind/>
    </w:pPr>
    <w:rPr>
      <w:rFonts w:ascii="Times New Roman" w:hAnsi="Times New Roman" w:eastAsia="Times New Roman" w:cs="Times New Roman"/>
      <w:color w:val="000000"/>
      <w:sz w:val="24"/>
      <w:szCs w:val="24"/>
      <w:shd w:val="clear" w:color="auto" w:fill="ffffff"/>
      <w:lang w:eastAsia="zh-CN"/>
    </w:rPr>
  </w:style>
  <w:style w:type="character" w:styleId="841" w:customStyle="1">
    <w:name w:val="Стандартный HTML Знак"/>
    <w:basedOn w:val="748"/>
    <w:link w:val="974"/>
    <w:qFormat/>
    <w:pPr>
      <w:pBdr/>
      <w:spacing/>
      <w:ind/>
    </w:pPr>
    <w:rPr>
      <w:rFonts w:ascii="Courier New" w:hAnsi="Courier New" w:eastAsia="Courier New" w:cs="Courier New"/>
      <w:sz w:val="20"/>
      <w:szCs w:val="20"/>
      <w:lang w:eastAsia="zh-CN"/>
    </w:rPr>
  </w:style>
  <w:style w:type="character" w:styleId="842" w:customStyle="1">
    <w:name w:val="Текст примечания Знак1"/>
    <w:basedOn w:val="748"/>
    <w:qFormat/>
    <w:pPr>
      <w:pBdr/>
      <w:spacing/>
      <w:ind/>
    </w:pPr>
    <w:rPr>
      <w:rFonts w:ascii="Times New Roman" w:hAnsi="Times New Roman"/>
      <w:sz w:val="20"/>
      <w:szCs w:val="20"/>
      <w:lang w:val="en-US"/>
    </w:rPr>
  </w:style>
  <w:style w:type="character" w:styleId="843" w:customStyle="1">
    <w:name w:val="Тема примечания Знак1"/>
    <w:basedOn w:val="842"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  <w:lang w:val="en-US" w:eastAsia="zh-CN"/>
    </w:rPr>
  </w:style>
  <w:style w:type="character" w:styleId="844" w:customStyle="1">
    <w:name w:val="Текст выноски Знак1"/>
    <w:basedOn w:val="748"/>
    <w:qFormat/>
    <w:pPr>
      <w:pBdr/>
      <w:spacing/>
      <w:ind/>
    </w:pPr>
    <w:rPr>
      <w:rFonts w:ascii="Tahoma" w:hAnsi="Tahoma" w:eastAsia="Times New Roman" w:cs="Tahoma"/>
      <w:sz w:val="16"/>
      <w:szCs w:val="16"/>
      <w:lang w:eastAsia="zh-CN"/>
    </w:rPr>
  </w:style>
  <w:style w:type="character" w:styleId="845" w:customStyle="1">
    <w:name w:val="value"/>
    <w:basedOn w:val="748"/>
    <w:qFormat/>
    <w:pPr>
      <w:pBdr/>
      <w:spacing/>
      <w:ind/>
    </w:pPr>
  </w:style>
  <w:style w:type="character" w:styleId="846" w:customStyle="1">
    <w:name w:val="name-inner"/>
    <w:basedOn w:val="748"/>
    <w:qFormat/>
    <w:pPr>
      <w:pBdr/>
      <w:spacing/>
      <w:ind/>
    </w:pPr>
  </w:style>
  <w:style w:type="character" w:styleId="847" w:customStyle="1">
    <w:name w:val="property_name"/>
    <w:basedOn w:val="748"/>
    <w:qFormat/>
    <w:pPr>
      <w:pBdr/>
      <w:spacing/>
      <w:ind/>
    </w:pPr>
  </w:style>
  <w:style w:type="character" w:styleId="848" w:customStyle="1">
    <w:name w:val="apple-tab-span"/>
    <w:basedOn w:val="748"/>
    <w:qFormat/>
    <w:pPr>
      <w:pBdr/>
      <w:spacing/>
      <w:ind/>
    </w:pPr>
  </w:style>
  <w:style w:type="character" w:styleId="849" w:customStyle="1">
    <w:name w:val="t_param"/>
    <w:basedOn w:val="748"/>
    <w:qFormat/>
    <w:pPr>
      <w:pBdr/>
      <w:spacing/>
      <w:ind/>
    </w:pPr>
  </w:style>
  <w:style w:type="character" w:styleId="850" w:customStyle="1">
    <w:name w:val="t_tech"/>
    <w:basedOn w:val="748"/>
    <w:qFormat/>
    <w:pPr>
      <w:pBdr/>
      <w:spacing/>
      <w:ind/>
    </w:pPr>
  </w:style>
  <w:style w:type="character" w:styleId="851" w:customStyle="1">
    <w:name w:val="Strong"/>
    <w:qFormat/>
    <w:pPr>
      <w:pBdr/>
      <w:spacing/>
      <w:ind/>
    </w:pPr>
    <w:rPr>
      <w:b/>
      <w:bCs/>
    </w:rPr>
  </w:style>
  <w:style w:type="character" w:styleId="852" w:customStyle="1">
    <w:name w:val="tipsy-tooltip"/>
    <w:basedOn w:val="748"/>
    <w:qFormat/>
    <w:pPr>
      <w:pBdr/>
      <w:spacing/>
      <w:ind/>
    </w:pPr>
  </w:style>
  <w:style w:type="character" w:styleId="853" w:customStyle="1">
    <w:name w:val="ConsPlusNormal Знак"/>
    <w:link w:val="1001"/>
    <w:qFormat/>
    <w:pPr>
      <w:pBdr/>
      <w:spacing/>
      <w:ind/>
    </w:pPr>
    <w:rPr>
      <w:rFonts w:ascii="Arial" w:hAnsi="Arial" w:eastAsia="Times New Roman" w:cs="Times New Roman"/>
      <w:sz w:val="20"/>
      <w:szCs w:val="20"/>
      <w:lang w:eastAsia="ru-RU"/>
    </w:rPr>
  </w:style>
  <w:style w:type="character" w:styleId="854" w:customStyle="1">
    <w:name w:val="Обычный (веб) Знак"/>
    <w:link w:val="1002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55" w:customStyle="1">
    <w:name w:val="WW8Num3z0"/>
    <w:qFormat/>
    <w:pPr>
      <w:pBdr/>
      <w:spacing/>
      <w:ind/>
    </w:pPr>
    <w:rPr>
      <w:b w:val="0"/>
    </w:rPr>
  </w:style>
  <w:style w:type="character" w:styleId="856" w:customStyle="1">
    <w:name w:val="Гиперссылка1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857" w:customStyle="1">
    <w:name w:val="Заголовок 1 Знак1"/>
    <w:qFormat/>
    <w:pPr>
      <w:pBdr/>
      <w:spacing/>
      <w:ind/>
    </w:pPr>
    <w:rPr>
      <w:iCs/>
      <w:sz w:val="24"/>
      <w:szCs w:val="24"/>
      <w:lang w:val="en-US" w:eastAsia="zh-CN"/>
    </w:rPr>
  </w:style>
  <w:style w:type="character" w:styleId="858" w:customStyle="1">
    <w:name w:val="Заголовок 2 Знак1"/>
    <w:qFormat/>
    <w:pPr>
      <w:pBdr/>
      <w:spacing/>
      <w:ind/>
    </w:pPr>
    <w:rPr>
      <w:b/>
      <w:bCs/>
      <w:sz w:val="24"/>
      <w:szCs w:val="32"/>
      <w:lang w:val="en-US" w:eastAsia="zh-CN"/>
    </w:rPr>
  </w:style>
  <w:style w:type="character" w:styleId="859" w:customStyle="1">
    <w:name w:val="Заголовок 3 Знак1"/>
    <w:qFormat/>
    <w:pPr>
      <w:pBdr/>
      <w:spacing/>
      <w:ind/>
    </w:pPr>
    <w:rPr>
      <w:rFonts w:ascii="Cambria" w:hAnsi="Cambria" w:cs="Cambria"/>
      <w:b/>
      <w:bCs/>
      <w:sz w:val="26"/>
      <w:szCs w:val="26"/>
      <w:lang w:val="en-US" w:eastAsia="zh-CN"/>
    </w:rPr>
  </w:style>
  <w:style w:type="character" w:styleId="860" w:customStyle="1">
    <w:name w:val="Заголовок 4 Знак1"/>
    <w:qFormat/>
    <w:pPr>
      <w:pBdr/>
      <w:spacing/>
      <w:ind/>
    </w:pPr>
    <w:rPr>
      <w:rFonts w:ascii="Cambria" w:hAnsi="Cambria" w:cs="Cambria"/>
      <w:b/>
      <w:bCs/>
      <w:i/>
      <w:iCs/>
      <w:color w:val="4f81bd"/>
      <w:sz w:val="24"/>
      <w:szCs w:val="24"/>
      <w:lang w:val="en-US" w:eastAsia="zh-CN"/>
    </w:rPr>
  </w:style>
  <w:style w:type="character" w:styleId="861" w:customStyle="1">
    <w:name w:val="Подзаголовок Знак1"/>
    <w:qFormat/>
    <w:pPr>
      <w:pBdr/>
      <w:spacing/>
      <w:ind/>
    </w:pPr>
    <w:rPr>
      <w:rFonts w:ascii="Arial" w:hAnsi="Arial" w:cs="Arial"/>
      <w:sz w:val="24"/>
      <w:szCs w:val="24"/>
      <w:lang w:val="en-US" w:eastAsia="zh-CN"/>
    </w:rPr>
  </w:style>
  <w:style w:type="character" w:styleId="862" w:customStyle="1">
    <w:name w:val="WW8Num2z0"/>
    <w:qFormat/>
    <w:pPr>
      <w:pBdr/>
      <w:spacing/>
      <w:ind/>
    </w:pPr>
    <w:rPr>
      <w:rFonts w:ascii="Symbol" w:hAnsi="Symbol" w:cs="Symbol"/>
    </w:rPr>
  </w:style>
  <w:style w:type="character" w:styleId="863" w:customStyle="1">
    <w:name w:val="WW8Num1z0"/>
    <w:qFormat/>
    <w:pPr>
      <w:pBdr/>
      <w:spacing/>
      <w:ind/>
    </w:pPr>
    <w:rPr>
      <w:rFonts w:ascii="Symbol" w:hAnsi="Symbol" w:cs="Symbol"/>
    </w:rPr>
  </w:style>
  <w:style w:type="character" w:styleId="864" w:customStyle="1">
    <w:name w:val="WW8Num3z2"/>
    <w:qFormat/>
    <w:pPr>
      <w:pBdr/>
      <w:spacing/>
      <w:ind/>
    </w:pPr>
  </w:style>
  <w:style w:type="character" w:styleId="865" w:customStyle="1">
    <w:name w:val="WW8Num6z0"/>
    <w:qFormat/>
    <w:pPr>
      <w:pBdr/>
      <w:spacing/>
      <w:ind/>
    </w:pPr>
  </w:style>
  <w:style w:type="character" w:styleId="866" w:customStyle="1">
    <w:name w:val="WW8Num6z2"/>
    <w:qFormat/>
    <w:pPr>
      <w:pBdr/>
      <w:spacing/>
      <w:ind/>
    </w:pPr>
    <w:rPr>
      <w:b w:val="0"/>
    </w:rPr>
  </w:style>
  <w:style w:type="character" w:styleId="867" w:customStyle="1">
    <w:name w:val="WW8Num7z0"/>
    <w:qFormat/>
    <w:pPr>
      <w:pBdr/>
      <w:spacing/>
      <w:ind/>
    </w:pPr>
    <w:rPr>
      <w:rFonts w:ascii="Times New Roman" w:hAnsi="Times New Roman" w:cs="Times New Roman"/>
    </w:rPr>
  </w:style>
  <w:style w:type="character" w:styleId="868" w:customStyle="1">
    <w:name w:val="WW8Num8z0"/>
    <w:qFormat/>
    <w:pPr>
      <w:pBdr/>
      <w:spacing/>
      <w:ind/>
    </w:pPr>
    <w:rPr>
      <w:rFonts w:cs="Times New Roman"/>
      <w:b/>
      <w:i w:val="0"/>
      <w:color w:val="000000"/>
      <w:sz w:val="20"/>
      <w:szCs w:val="20"/>
    </w:rPr>
  </w:style>
  <w:style w:type="character" w:styleId="869" w:customStyle="1">
    <w:name w:val="WW8Num9z1"/>
    <w:qFormat/>
    <w:pPr>
      <w:pBdr/>
      <w:spacing/>
      <w:ind/>
    </w:pPr>
    <w:rPr>
      <w:b w:val="0"/>
      <w:i w:val="0"/>
      <w:sz w:val="28"/>
      <w:szCs w:val="28"/>
    </w:rPr>
  </w:style>
  <w:style w:type="character" w:styleId="870" w:customStyle="1">
    <w:name w:val="WW8Num9z2"/>
    <w:qFormat/>
    <w:pPr>
      <w:pBdr/>
      <w:spacing/>
      <w:ind/>
    </w:pPr>
    <w:rPr>
      <w:rFonts w:ascii="Times New Roman" w:hAnsi="Times New Roman" w:cs="Times New Roman"/>
      <w:b w:val="0"/>
      <w:i w:val="0"/>
      <w:sz w:val="28"/>
      <w:szCs w:val="28"/>
    </w:rPr>
  </w:style>
  <w:style w:type="character" w:styleId="871" w:customStyle="1">
    <w:name w:val="WW8Num9z3"/>
    <w:qFormat/>
    <w:pPr>
      <w:pBdr/>
      <w:spacing/>
      <w:ind/>
    </w:pPr>
    <w:rPr>
      <w:sz w:val="28"/>
      <w:szCs w:val="28"/>
    </w:rPr>
  </w:style>
  <w:style w:type="character" w:styleId="872" w:customStyle="1">
    <w:name w:val="WW8Num11z2"/>
    <w:qFormat/>
    <w:pPr>
      <w:pBdr/>
      <w:spacing/>
      <w:ind/>
    </w:pPr>
    <w:rPr>
      <w:rFonts w:ascii="Wingdings" w:hAnsi="Wingdings" w:cs="Wingdings"/>
    </w:rPr>
  </w:style>
  <w:style w:type="character" w:styleId="873" w:customStyle="1">
    <w:name w:val="WW8Num11z3"/>
    <w:qFormat/>
    <w:pPr>
      <w:pBdr/>
      <w:spacing/>
      <w:ind/>
    </w:pPr>
    <w:rPr>
      <w:rFonts w:ascii="Symbol" w:hAnsi="Symbol" w:cs="Symbol"/>
    </w:rPr>
  </w:style>
  <w:style w:type="character" w:styleId="874" w:customStyle="1">
    <w:name w:val="WW8Num14z0"/>
    <w:qFormat/>
    <w:pPr>
      <w:pBdr/>
      <w:spacing/>
      <w:ind/>
    </w:pPr>
  </w:style>
  <w:style w:type="character" w:styleId="875" w:customStyle="1">
    <w:name w:val="WW8Num17z0"/>
    <w:qFormat/>
    <w:pPr>
      <w:pBdr/>
      <w:spacing/>
      <w:ind/>
    </w:pPr>
  </w:style>
  <w:style w:type="character" w:styleId="876" w:customStyle="1">
    <w:name w:val="WW8Num17z2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877" w:customStyle="1">
    <w:name w:val="WW8Num19z0"/>
    <w:qFormat/>
    <w:pPr>
      <w:pBdr/>
      <w:spacing/>
      <w:ind/>
    </w:pPr>
    <w:rPr>
      <w:rFonts w:ascii="Times New Roman" w:hAnsi="Times New Roman" w:cs="Times New Roman"/>
      <w:b/>
      <w:sz w:val="22"/>
    </w:rPr>
  </w:style>
  <w:style w:type="character" w:styleId="878" w:customStyle="1">
    <w:name w:val="WW8Num19z1"/>
    <w:qFormat/>
    <w:pPr>
      <w:pBdr/>
      <w:spacing/>
      <w:ind/>
    </w:pPr>
  </w:style>
  <w:style w:type="character" w:styleId="879" w:customStyle="1">
    <w:name w:val="WW8Num20z0"/>
    <w:qFormat/>
    <w:pPr>
      <w:pBdr/>
      <w:spacing/>
      <w:ind/>
    </w:pPr>
    <w:rPr>
      <w:sz w:val="22"/>
    </w:rPr>
  </w:style>
  <w:style w:type="character" w:styleId="880" w:customStyle="1">
    <w:name w:val="WW8Num21z0"/>
    <w:qFormat/>
    <w:pPr>
      <w:pBdr/>
      <w:spacing/>
      <w:ind/>
    </w:pPr>
    <w:rPr>
      <w:b/>
    </w:rPr>
  </w:style>
  <w:style w:type="character" w:styleId="881" w:customStyle="1">
    <w:name w:val="Пункт Знак1"/>
    <w:qFormat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character" w:styleId="882" w:customStyle="1">
    <w:name w:val="Основной текст с отступом 3 Знак"/>
    <w:qFormat/>
    <w:pPr>
      <w:pBdr/>
      <w:spacing/>
      <w:ind/>
    </w:pPr>
    <w:rPr>
      <w:rFonts w:ascii="Times New Roman" w:hAnsi="Times New Roman" w:eastAsia="Times New Roman" w:cs="Times New Roman"/>
      <w:sz w:val="16"/>
      <w:szCs w:val="16"/>
    </w:rPr>
  </w:style>
  <w:style w:type="character" w:styleId="883" w:customStyle="1">
    <w:name w:val="Подподпункт Знак"/>
    <w:qFormat/>
    <w:pPr>
      <w:pBdr/>
      <w:spacing/>
      <w:ind/>
    </w:pPr>
    <w:rPr>
      <w:rFonts w:ascii="Times New Roman" w:hAnsi="Times New Roman" w:eastAsia="Times New Roman" w:cs="Times New Roman"/>
      <w:bCs/>
    </w:rPr>
  </w:style>
  <w:style w:type="character" w:styleId="884" w:customStyle="1">
    <w:name w:val="Ариал Знак1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85" w:customStyle="1">
    <w:name w:val="Ариал Таблица Знак"/>
    <w:qFormat/>
    <w:pPr>
      <w:pBdr/>
      <w:spacing/>
      <w:ind/>
    </w:pPr>
    <w:rPr>
      <w:rFonts w:ascii="Arial" w:hAnsi="Arial" w:eastAsia="Times New Roman" w:cs="Arial"/>
      <w:sz w:val="24"/>
      <w:szCs w:val="20"/>
    </w:rPr>
  </w:style>
  <w:style w:type="character" w:styleId="886" w:customStyle="1">
    <w:name w:val="Стиль Знак"/>
    <w:qFormat/>
    <w:pPr>
      <w:pBdr/>
      <w:spacing/>
      <w:ind/>
    </w:pPr>
    <w:rPr>
      <w:rFonts w:ascii="Times New Roman" w:hAnsi="Times New Roman" w:cs="Times New Roman"/>
      <w:b/>
      <w:lang w:val="ru-RU" w:bidi="ar-SA"/>
    </w:rPr>
  </w:style>
  <w:style w:type="character" w:styleId="887" w:customStyle="1">
    <w:name w:val="databind"/>
    <w:qFormat/>
    <w:pPr>
      <w:pBdr/>
      <w:spacing/>
      <w:ind/>
    </w:pPr>
    <w:rPr>
      <w:i/>
      <w:iCs/>
      <w:color w:val="777777"/>
    </w:rPr>
  </w:style>
  <w:style w:type="character" w:styleId="888" w:customStyle="1">
    <w:name w:val="apple-style-span"/>
    <w:qFormat/>
    <w:pPr>
      <w:pBdr/>
      <w:spacing/>
      <w:ind/>
    </w:pPr>
  </w:style>
  <w:style w:type="character" w:styleId="889" w:customStyle="1">
    <w:name w:val="Текст Знак"/>
    <w:qFormat/>
    <w:pPr>
      <w:pBdr/>
      <w:spacing/>
      <w:ind/>
    </w:pPr>
    <w:rPr>
      <w:rFonts w:ascii="Courier New" w:hAnsi="Courier New" w:eastAsia="Times New Roman" w:cs="Times New Roman"/>
      <w:sz w:val="20"/>
      <w:szCs w:val="20"/>
    </w:rPr>
  </w:style>
  <w:style w:type="character" w:styleId="890" w:customStyle="1">
    <w:name w:val="Font Style24"/>
    <w:qFormat/>
    <w:pPr>
      <w:pBdr/>
      <w:spacing/>
      <w:ind/>
    </w:pPr>
    <w:rPr>
      <w:rFonts w:ascii="Times New Roman" w:hAnsi="Times New Roman" w:cs="Times New Roman"/>
      <w:color w:val="000000"/>
      <w:sz w:val="20"/>
      <w:szCs w:val="20"/>
    </w:rPr>
  </w:style>
  <w:style w:type="character" w:styleId="891" w:customStyle="1">
    <w:name w:val="txt-data-item1"/>
    <w:qFormat/>
    <w:pPr>
      <w:pBdr/>
      <w:spacing/>
      <w:ind/>
    </w:pPr>
    <w:rPr>
      <w:strike w:val="0"/>
      <w:color w:val="222222"/>
      <w:u w:val="none"/>
    </w:rPr>
  </w:style>
  <w:style w:type="character" w:styleId="892" w:customStyle="1">
    <w:name w:val="Font Style12"/>
    <w:qFormat/>
    <w:pPr>
      <w:pBdr/>
      <w:spacing/>
      <w:ind/>
    </w:pPr>
    <w:rPr>
      <w:rFonts w:ascii="Times New Roman" w:hAnsi="Times New Roman" w:cs="Times New Roman"/>
      <w:b/>
      <w:bCs/>
      <w:sz w:val="26"/>
      <w:szCs w:val="26"/>
    </w:rPr>
  </w:style>
  <w:style w:type="character" w:styleId="893" w:customStyle="1">
    <w:name w:val="Font Style13"/>
    <w:qFormat/>
    <w:pPr>
      <w:pBdr/>
      <w:spacing/>
      <w:ind/>
    </w:pPr>
    <w:rPr>
      <w:rFonts w:ascii="Times New Roman" w:hAnsi="Times New Roman" w:cs="Times New Roman"/>
      <w:color w:val="000000"/>
      <w:sz w:val="22"/>
      <w:szCs w:val="22"/>
    </w:rPr>
  </w:style>
  <w:style w:type="character" w:styleId="894" w:customStyle="1">
    <w:name w:val="Emphasis"/>
    <w:qFormat/>
    <w:pPr>
      <w:pBdr/>
      <w:spacing/>
      <w:ind/>
    </w:pPr>
    <w:rPr>
      <w:i/>
      <w:iCs/>
    </w:rPr>
  </w:style>
  <w:style w:type="character" w:styleId="895" w:customStyle="1">
    <w:name w:val="Название Знак"/>
    <w:qFormat/>
    <w:pPr>
      <w:pBdr/>
      <w:spacing/>
      <w:ind/>
    </w:pPr>
    <w:rPr>
      <w:rFonts w:ascii="Times New Roman" w:hAnsi="Times New Roman" w:eastAsia="Times New Roman" w:cs="Times New Roman"/>
      <w:b/>
      <w:spacing w:val="5"/>
      <w:sz w:val="28"/>
      <w:szCs w:val="52"/>
    </w:rPr>
  </w:style>
  <w:style w:type="character" w:styleId="896" w:customStyle="1">
    <w:name w:val="Стиль (латиница) Arial 8 пт Синий"/>
    <w:qFormat/>
    <w:pPr>
      <w:pBdr/>
      <w:spacing/>
      <w:ind/>
    </w:pPr>
    <w:rPr>
      <w:rFonts w:ascii="Times New Roman" w:hAnsi="Times New Roman" w:cs="Times New Roman"/>
      <w:color w:val="0000ff"/>
      <w:sz w:val="24"/>
    </w:rPr>
  </w:style>
  <w:style w:type="character" w:styleId="897" w:customStyle="1">
    <w:name w:val="Font Style15"/>
    <w:qFormat/>
    <w:pPr>
      <w:pBdr/>
      <w:spacing/>
      <w:ind/>
    </w:pPr>
    <w:rPr>
      <w:rFonts w:ascii="Times New Roman" w:hAnsi="Times New Roman" w:cs="Times New Roman"/>
      <w:sz w:val="20"/>
      <w:szCs w:val="20"/>
    </w:rPr>
  </w:style>
  <w:style w:type="character" w:styleId="898" w:customStyle="1">
    <w:name w:val="ty-product-feature__label"/>
    <w:basedOn w:val="748"/>
    <w:qFormat/>
    <w:pPr>
      <w:pBdr/>
      <w:spacing/>
      <w:ind/>
    </w:pPr>
  </w:style>
  <w:style w:type="character" w:styleId="899" w:customStyle="1">
    <w:name w:val="Основной текст с отступом 2 Знак1"/>
    <w:basedOn w:val="748"/>
    <w:qFormat/>
    <w:pPr>
      <w:pBdr/>
      <w:spacing/>
      <w:ind/>
    </w:pPr>
    <w:rPr>
      <w:lang w:val="en-US" w:eastAsia="zh-CN"/>
    </w:rPr>
  </w:style>
  <w:style w:type="character" w:styleId="900" w:customStyle="1">
    <w:name w:val="Основной текст с отступом 3 Знак1"/>
    <w:basedOn w:val="748"/>
    <w:link w:val="1015"/>
    <w:qFormat/>
    <w:pPr>
      <w:pBdr/>
      <w:spacing/>
      <w:ind/>
    </w:pPr>
    <w:rPr>
      <w:rFonts w:ascii="Times New Roman" w:hAnsi="Times New Roman" w:eastAsia="Times New Roman" w:cs="Times New Roman"/>
      <w:sz w:val="16"/>
      <w:szCs w:val="16"/>
      <w:lang w:val="en-US" w:eastAsia="zh-CN"/>
    </w:rPr>
  </w:style>
  <w:style w:type="character" w:styleId="901" w:customStyle="1">
    <w:name w:val="Текст Знак1"/>
    <w:basedOn w:val="748"/>
    <w:link w:val="1023"/>
    <w:qFormat/>
    <w:pPr>
      <w:pBdr/>
      <w:spacing/>
      <w:ind/>
    </w:pPr>
    <w:rPr>
      <w:rFonts w:ascii="Courier New" w:hAnsi="Courier New" w:eastAsia="Times New Roman" w:cs="Courier New"/>
      <w:sz w:val="20"/>
      <w:szCs w:val="20"/>
      <w:lang w:val="en-US" w:eastAsia="zh-CN"/>
    </w:rPr>
  </w:style>
  <w:style w:type="character" w:styleId="902" w:customStyle="1">
    <w:name w:val="Основной текст с отступом Знак1"/>
    <w:basedOn w:val="748"/>
    <w:qFormat/>
    <w:pPr>
      <w:pBdr/>
      <w:spacing/>
      <w:ind/>
    </w:pPr>
    <w:rPr>
      <w:sz w:val="24"/>
      <w:szCs w:val="24"/>
      <w:lang w:val="en-US" w:eastAsia="zh-CN"/>
    </w:rPr>
  </w:style>
  <w:style w:type="character" w:styleId="903" w:customStyle="1">
    <w:name w:val="Гиперссылка"/>
    <w:uiPriority w:val="99"/>
    <w:unhideWhenUsed/>
    <w:qFormat/>
    <w:pPr>
      <w:pBdr/>
      <w:spacing/>
      <w:ind/>
    </w:pPr>
    <w:rPr>
      <w:color w:val="0000ff"/>
      <w:u w:val="single"/>
    </w:rPr>
  </w:style>
  <w:style w:type="paragraph" w:styleId="904">
    <w:name w:val="Заголовок"/>
    <w:basedOn w:val="727"/>
    <w:next w:val="905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905">
    <w:name w:val="Body Text"/>
    <w:basedOn w:val="727"/>
    <w:link w:val="777"/>
    <w:unhideWhenUsed/>
    <w:pPr>
      <w:pBdr/>
      <w:spacing w:after="120" w:before="0"/>
      <w:ind/>
    </w:pPr>
  </w:style>
  <w:style w:type="paragraph" w:styleId="906">
    <w:name w:val="List"/>
    <w:basedOn w:val="905"/>
    <w:pPr>
      <w:pBdr/>
      <w:tabs>
        <w:tab w:val="left" w:leader="none" w:pos="0"/>
        <w:tab w:val="clear" w:leader="none" w:pos="708"/>
      </w:tabs>
      <w:spacing w:after="0" w:before="0"/>
      <w:ind w:right="-81" w:firstLine="0"/>
    </w:pPr>
    <w:rPr>
      <w:rFonts w:cs="Lucida Sans"/>
      <w:b/>
      <w:bCs/>
      <w:lang w:eastAsia="zh-CN"/>
    </w:rPr>
  </w:style>
  <w:style w:type="paragraph" w:styleId="907" w:customStyle="1">
    <w:name w:val="Caption"/>
    <w:basedOn w:val="727"/>
    <w:link w:val="764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  <w:lang w:eastAsia="zh-CN"/>
    </w:rPr>
  </w:style>
  <w:style w:type="paragraph" w:styleId="908">
    <w:name w:val="Указатель"/>
    <w:basedOn w:val="727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909">
    <w:name w:val="Title"/>
    <w:basedOn w:val="727"/>
    <w:next w:val="905"/>
    <w:link w:val="758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910">
    <w:name w:val="Subtitle"/>
    <w:basedOn w:val="727"/>
    <w:next w:val="727"/>
    <w:link w:val="759"/>
    <w:qFormat/>
    <w:pPr>
      <w:pBdr/>
      <w:spacing w:after="200" w:before="200"/>
      <w:ind/>
    </w:pPr>
  </w:style>
  <w:style w:type="paragraph" w:styleId="911">
    <w:name w:val="Quote"/>
    <w:basedOn w:val="727"/>
    <w:next w:val="727"/>
    <w:link w:val="760"/>
    <w:uiPriority w:val="29"/>
    <w:qFormat/>
    <w:pPr>
      <w:pBdr/>
      <w:spacing/>
      <w:ind w:right="720" w:firstLine="0" w:left="720"/>
    </w:pPr>
    <w:rPr>
      <w:i/>
    </w:rPr>
  </w:style>
  <w:style w:type="paragraph" w:styleId="912">
    <w:name w:val="Intense Quote"/>
    <w:basedOn w:val="727"/>
    <w:next w:val="727"/>
    <w:link w:val="76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firstLine="0" w:left="720"/>
    </w:pPr>
    <w:rPr>
      <w:i/>
    </w:rPr>
  </w:style>
  <w:style w:type="paragraph" w:styleId="913">
    <w:name w:val="endnote text"/>
    <w:basedOn w:val="727"/>
    <w:link w:val="766"/>
    <w:uiPriority w:val="99"/>
    <w:semiHidden/>
    <w:unhideWhenUsed/>
    <w:pPr>
      <w:pBdr/>
      <w:spacing/>
      <w:ind/>
    </w:pPr>
    <w:rPr>
      <w:sz w:val="20"/>
    </w:rPr>
  </w:style>
  <w:style w:type="paragraph" w:styleId="914">
    <w:name w:val="toc 2"/>
    <w:basedOn w:val="727"/>
    <w:next w:val="727"/>
    <w:unhideWhenUsed/>
    <w:pPr>
      <w:pBdr/>
      <w:spacing w:after="57" w:before="0"/>
      <w:ind w:firstLine="0" w:left="283"/>
    </w:pPr>
  </w:style>
  <w:style w:type="paragraph" w:styleId="915">
    <w:name w:val="toc 3"/>
    <w:basedOn w:val="727"/>
    <w:next w:val="727"/>
    <w:unhideWhenUsed/>
    <w:pPr>
      <w:pBdr/>
      <w:spacing w:after="57" w:before="0"/>
      <w:ind w:firstLine="0" w:left="567"/>
    </w:pPr>
  </w:style>
  <w:style w:type="paragraph" w:styleId="916">
    <w:name w:val="toc 4"/>
    <w:basedOn w:val="727"/>
    <w:next w:val="727"/>
    <w:uiPriority w:val="39"/>
    <w:unhideWhenUsed/>
    <w:pPr>
      <w:pBdr/>
      <w:spacing w:after="57" w:before="0"/>
      <w:ind w:firstLine="0" w:left="850"/>
    </w:pPr>
  </w:style>
  <w:style w:type="paragraph" w:styleId="917">
    <w:name w:val="toc 5"/>
    <w:basedOn w:val="727"/>
    <w:next w:val="727"/>
    <w:uiPriority w:val="39"/>
    <w:unhideWhenUsed/>
    <w:pPr>
      <w:pBdr/>
      <w:spacing w:after="57" w:before="0"/>
      <w:ind w:firstLine="0" w:left="1134"/>
    </w:pPr>
  </w:style>
  <w:style w:type="paragraph" w:styleId="918">
    <w:name w:val="toc 6"/>
    <w:basedOn w:val="727"/>
    <w:next w:val="727"/>
    <w:uiPriority w:val="39"/>
    <w:unhideWhenUsed/>
    <w:pPr>
      <w:pBdr/>
      <w:spacing w:after="57" w:before="0"/>
      <w:ind w:firstLine="0" w:left="1417"/>
    </w:pPr>
  </w:style>
  <w:style w:type="paragraph" w:styleId="919">
    <w:name w:val="toc 7"/>
    <w:basedOn w:val="727"/>
    <w:next w:val="727"/>
    <w:uiPriority w:val="39"/>
    <w:unhideWhenUsed/>
    <w:pPr>
      <w:pBdr/>
      <w:spacing w:after="57" w:before="0"/>
      <w:ind w:firstLine="0" w:left="1701"/>
    </w:pPr>
  </w:style>
  <w:style w:type="paragraph" w:styleId="920">
    <w:name w:val="toc 8"/>
    <w:basedOn w:val="727"/>
    <w:next w:val="727"/>
    <w:uiPriority w:val="39"/>
    <w:unhideWhenUsed/>
    <w:pPr>
      <w:pBdr/>
      <w:spacing w:after="57" w:before="0"/>
      <w:ind w:firstLine="0" w:left="1984"/>
    </w:pPr>
  </w:style>
  <w:style w:type="paragraph" w:styleId="921">
    <w:name w:val="toc 9"/>
    <w:basedOn w:val="727"/>
    <w:next w:val="727"/>
    <w:uiPriority w:val="39"/>
    <w:unhideWhenUsed/>
    <w:pPr>
      <w:pBdr/>
      <w:spacing w:after="57" w:before="0"/>
      <w:ind w:firstLine="0" w:left="2268"/>
    </w:pPr>
  </w:style>
  <w:style w:type="paragraph" w:styleId="922">
    <w:name w:val="Index Heading"/>
    <w:basedOn w:val="904"/>
    <w:pPr>
      <w:pBdr/>
      <w:spacing/>
      <w:ind/>
    </w:pPr>
  </w:style>
  <w:style w:type="paragraph" w:styleId="923">
    <w:name w:val="TOC Heading"/>
    <w:uiPriority w:val="39"/>
    <w:unhideWhenUsed/>
    <w:pPr>
      <w:widowControl w:val="true"/>
      <w:pBdr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24">
    <w:name w:val="table of figures"/>
    <w:basedOn w:val="727"/>
    <w:next w:val="727"/>
    <w:uiPriority w:val="99"/>
    <w:unhideWhenUsed/>
    <w:qFormat/>
    <w:pPr>
      <w:pBdr/>
      <w:spacing/>
      <w:ind/>
    </w:pPr>
  </w:style>
  <w:style w:type="paragraph" w:styleId="925">
    <w:name w:val="index heading"/>
    <w:basedOn w:val="727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926" w:customStyle="1">
    <w:name w:val="Колонтитул"/>
    <w:basedOn w:val="727"/>
    <w:qFormat/>
    <w:pPr>
      <w:pBdr/>
      <w:spacing/>
      <w:ind/>
    </w:pPr>
  </w:style>
  <w:style w:type="paragraph" w:styleId="927">
    <w:name w:val="Header"/>
    <w:basedOn w:val="727"/>
    <w:link w:val="762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928">
    <w:name w:val="Footer"/>
    <w:basedOn w:val="727"/>
    <w:link w:val="763"/>
    <w:unhideWhenUsed/>
    <w:pPr>
      <w:pBdr/>
      <w:tabs>
        <w:tab w:val="clear" w:leader="none" w:pos="708"/>
        <w:tab w:val="center" w:leader="none" w:pos="4677"/>
        <w:tab w:val="right" w:leader="none" w:pos="9355"/>
      </w:tabs>
      <w:spacing/>
      <w:ind/>
    </w:pPr>
  </w:style>
  <w:style w:type="paragraph" w:styleId="929">
    <w:name w:val="No Spacing"/>
    <w:link w:val="776"/>
    <w:qFormat/>
    <w:pPr>
      <w:widowControl w:val="true"/>
      <w:pBdr/>
      <w:spacing w:after="0" w:before="0"/>
      <w:ind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2"/>
      <w:lang w:val="ru-RU" w:eastAsia="zh-CN" w:bidi="ar-SA"/>
    </w:rPr>
  </w:style>
  <w:style w:type="paragraph" w:styleId="930">
    <w:name w:val="List Paragraph"/>
    <w:basedOn w:val="727"/>
    <w:link w:val="795"/>
    <w:uiPriority w:val="34"/>
    <w:qFormat/>
    <w:pPr>
      <w:pBdr/>
      <w:spacing w:after="200" w:before="0"/>
      <w:ind w:firstLine="0" w:left="720"/>
      <w:contextualSpacing w:val="true"/>
      <w:jc w:val="both"/>
    </w:pPr>
    <w:rPr>
      <w:rFonts w:eastAsia="Calibri"/>
      <w:szCs w:val="20"/>
      <w:lang w:eastAsia="zh-CN"/>
    </w:rPr>
  </w:style>
  <w:style w:type="paragraph" w:styleId="931" w:customStyle="1">
    <w:name w:val="Standard"/>
    <w:qFormat/>
    <w:pPr>
      <w:widowControl w:val="false"/>
      <w:pBdr/>
      <w:spacing w:after="0" w:before="0"/>
      <w:ind/>
      <w:jc w:val="left"/>
    </w:pPr>
    <w:rPr>
      <w:rFonts w:ascii="Times New Roman" w:hAnsi="Times New Roman" w:eastAsia="Andale Sans UI" w:cs="Tahoma"/>
      <w:color w:val="auto"/>
      <w:sz w:val="24"/>
      <w:szCs w:val="24"/>
      <w:lang w:val="de-DE" w:eastAsia="ja-JP" w:bidi="fa-IR"/>
    </w:rPr>
  </w:style>
  <w:style w:type="paragraph" w:styleId="932" w:customStyle="1">
    <w:name w:val="Абзац списка3"/>
    <w:basedOn w:val="727"/>
    <w:qFormat/>
    <w:pPr>
      <w:pBdr/>
      <w:spacing/>
      <w:ind w:firstLine="0" w:left="720"/>
    </w:pPr>
    <w:rPr>
      <w:rFonts w:eastAsia="Calibri"/>
      <w:lang w:eastAsia="zh-CN"/>
    </w:rPr>
  </w:style>
  <w:style w:type="paragraph" w:styleId="933" w:customStyle="1">
    <w:name w:val="Заголовок №1"/>
    <w:basedOn w:val="727"/>
    <w:qFormat/>
    <w:pPr>
      <w:widowControl w:val="false"/>
      <w:pBdr/>
      <w:shd w:val="clear" w:color="auto" w:fill="ffffff"/>
      <w:spacing w:after="0" w:before="120" w:line="480" w:lineRule="exact"/>
      <w:ind/>
      <w:jc w:val="both"/>
    </w:pPr>
    <w:rPr>
      <w:b/>
      <w:bCs/>
      <w:color w:val="00000a"/>
      <w:sz w:val="27"/>
      <w:szCs w:val="27"/>
      <w:lang w:eastAsia="zh-CN"/>
    </w:rPr>
  </w:style>
  <w:style w:type="paragraph" w:styleId="934" w:customStyle="1">
    <w:name w:val="Подподпункт"/>
    <w:basedOn w:val="727"/>
    <w:qFormat/>
    <w:pPr>
      <w:pBdr/>
      <w:tabs>
        <w:tab w:val="clear" w:leader="none" w:pos="708"/>
        <w:tab w:val="left" w:leader="none" w:pos="1701"/>
      </w:tabs>
      <w:spacing w:line="360" w:lineRule="auto"/>
      <w:ind w:hanging="567" w:left="1701"/>
      <w:jc w:val="both"/>
    </w:pPr>
    <w:rPr>
      <w:color w:val="00000a"/>
      <w:sz w:val="28"/>
      <w:szCs w:val="20"/>
      <w:lang w:eastAsia="zh-CN"/>
    </w:rPr>
  </w:style>
  <w:style w:type="paragraph" w:styleId="935" w:customStyle="1">
    <w:name w:val="msonospacing"/>
    <w:basedOn w:val="727"/>
    <w:qFormat/>
    <w:pPr>
      <w:pBdr/>
      <w:spacing w:afterAutospacing="1" w:beforeAutospacing="1"/>
      <w:ind/>
    </w:pPr>
  </w:style>
  <w:style w:type="paragraph" w:styleId="936">
    <w:name w:val="Body Text Indent 2"/>
    <w:basedOn w:val="727"/>
    <w:link w:val="779"/>
    <w:qFormat/>
    <w:pPr>
      <w:pBdr/>
      <w:spacing w:after="120" w:before="0" w:line="480" w:lineRule="auto"/>
      <w:ind w:firstLine="0" w:left="283"/>
    </w:pPr>
  </w:style>
  <w:style w:type="paragraph" w:styleId="937" w:customStyle="1">
    <w:name w:val="ConsNormal"/>
    <w:qFormat/>
    <w:pPr>
      <w:widowControl w:val="false"/>
      <w:pBdr/>
      <w:spacing w:after="0" w:before="0"/>
      <w:ind w:firstLine="720"/>
      <w:jc w:val="left"/>
    </w:pPr>
    <w:rPr>
      <w:rFonts w:ascii="Arial" w:hAnsi="Arial" w:eastAsia="Times New Roman" w:cs="Times New Roman"/>
      <w:color w:val="auto"/>
      <w:sz w:val="20"/>
      <w:szCs w:val="20"/>
      <w:lang w:val="ru-RU" w:eastAsia="ru-RU" w:bidi="ar-SA"/>
    </w:rPr>
  </w:style>
  <w:style w:type="paragraph" w:styleId="938" w:customStyle="1">
    <w:name w:val="Адресат"/>
    <w:basedOn w:val="727"/>
    <w:qFormat/>
    <w:pPr>
      <w:pBdr/>
      <w:spacing w:line="240" w:lineRule="exact"/>
      <w:ind/>
    </w:pPr>
    <w:rPr>
      <w:sz w:val="28"/>
      <w:szCs w:val="20"/>
    </w:rPr>
  </w:style>
  <w:style w:type="paragraph" w:styleId="939" w:customStyle="1">
    <w:name w:val="ConsPlusNonformat"/>
    <w:qFormat/>
    <w:pPr>
      <w:widowControl w:val="true"/>
      <w:pBdr/>
      <w:spacing w:after="0" w:before="0"/>
      <w:ind/>
      <w:jc w:val="left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940" w:customStyle="1">
    <w:name w:val="Основной текст (2)"/>
    <w:basedOn w:val="727"/>
    <w:link w:val="781"/>
    <w:uiPriority w:val="99"/>
    <w:qFormat/>
    <w:pPr>
      <w:widowControl w:val="false"/>
      <w:pBdr/>
      <w:shd w:val="clear" w:color="auto" w:fill="ffffff"/>
      <w:spacing w:after="780" w:before="780" w:line="240" w:lineRule="atLeast"/>
      <w:ind w:hanging="660"/>
    </w:pPr>
    <w:rPr>
      <w:rFonts w:ascii="Calibri" w:hAnsi="Calibri" w:eastAsia="Calibri" w:asciiTheme="minorHAnsi" w:hAnsiTheme="minorHAnsi" w:eastAsiaTheme="minorHAnsi"/>
      <w:sz w:val="22"/>
      <w:szCs w:val="22"/>
      <w:lang w:eastAsia="en-US"/>
    </w:rPr>
  </w:style>
  <w:style w:type="paragraph" w:styleId="941" w:customStyle="1">
    <w:name w:val="Основной текст (3)"/>
    <w:basedOn w:val="727"/>
    <w:link w:val="783"/>
    <w:uiPriority w:val="99"/>
    <w:qFormat/>
    <w:pPr>
      <w:widowControl w:val="false"/>
      <w:pBdr/>
      <w:shd w:val="clear" w:color="auto" w:fill="ffffff"/>
      <w:spacing w:after="180" w:before="0" w:line="209" w:lineRule="exact"/>
      <w:ind/>
    </w:pPr>
    <w:rPr>
      <w:rFonts w:ascii="Calibri" w:hAnsi="Calibri" w:eastAsia="Calibri" w:asciiTheme="minorHAnsi" w:hAnsiTheme="minorHAnsi" w:eastAsiaTheme="minorHAnsi"/>
      <w:sz w:val="16"/>
      <w:szCs w:val="16"/>
      <w:lang w:eastAsia="en-US"/>
    </w:rPr>
  </w:style>
  <w:style w:type="paragraph" w:styleId="942" w:customStyle="1">
    <w:name w:val="Основной текст (12)"/>
    <w:basedOn w:val="727"/>
    <w:link w:val="785"/>
    <w:uiPriority w:val="99"/>
    <w:qFormat/>
    <w:pPr>
      <w:widowControl w:val="false"/>
      <w:pBdr/>
      <w:shd w:val="clear" w:color="auto" w:fill="ffffff"/>
      <w:spacing w:line="240" w:lineRule="atLeast"/>
      <w:ind/>
      <w:jc w:val="both"/>
    </w:pPr>
    <w:rPr>
      <w:rFonts w:ascii="Calibri" w:hAnsi="Calibri" w:eastAsia="Calibri" w:asciiTheme="minorHAnsi" w:hAnsiTheme="minorHAnsi" w:eastAsiaTheme="minorHAnsi"/>
      <w:sz w:val="19"/>
      <w:szCs w:val="19"/>
      <w:lang w:eastAsia="en-US"/>
    </w:rPr>
  </w:style>
  <w:style w:type="paragraph" w:styleId="943" w:customStyle="1">
    <w:name w:val="Основной текст (13)"/>
    <w:basedOn w:val="727"/>
    <w:link w:val="786"/>
    <w:uiPriority w:val="99"/>
    <w:qFormat/>
    <w:pPr>
      <w:widowControl w:val="false"/>
      <w:pBdr/>
      <w:shd w:val="clear" w:color="auto" w:fill="ffffff"/>
      <w:spacing w:line="240" w:lineRule="atLeast"/>
      <w:ind/>
      <w:jc w:val="both"/>
    </w:pPr>
    <w:rPr>
      <w:rFonts w:ascii="Arial" w:hAnsi="Arial" w:eastAsia="Calibri" w:cs="Arial" w:eastAsiaTheme="minorHAnsi"/>
      <w:sz w:val="22"/>
      <w:szCs w:val="22"/>
      <w:lang w:eastAsia="en-US"/>
    </w:rPr>
  </w:style>
  <w:style w:type="paragraph" w:styleId="944" w:customStyle="1">
    <w:name w:val="Основной текст 21"/>
    <w:basedOn w:val="727"/>
    <w:qFormat/>
    <w:pPr>
      <w:pBdr/>
      <w:spacing/>
      <w:ind w:firstLine="851"/>
      <w:jc w:val="both"/>
    </w:pPr>
    <w:rPr>
      <w:szCs w:val="20"/>
    </w:rPr>
  </w:style>
  <w:style w:type="paragraph" w:styleId="945" w:customStyle="1">
    <w:name w:val="footnote text"/>
    <w:basedOn w:val="727"/>
    <w:link w:val="765"/>
    <w:pPr>
      <w:pBdr/>
      <w:spacing/>
      <w:ind/>
    </w:pPr>
    <w:rPr>
      <w:sz w:val="20"/>
      <w:szCs w:val="20"/>
      <w:lang w:val="en-US" w:eastAsia="zh-CN"/>
    </w:rPr>
  </w:style>
  <w:style w:type="paragraph" w:styleId="946">
    <w:name w:val="annotation text"/>
    <w:basedOn w:val="727"/>
    <w:link w:val="792"/>
    <w:unhideWhenUsed/>
    <w:qFormat/>
    <w:pPr>
      <w:pBdr/>
      <w:spacing/>
      <w:ind/>
    </w:pPr>
    <w:rPr>
      <w:rFonts w:ascii="Calibri" w:hAnsi="Calibri" w:eastAsia="Calibri" w:eastAsiaTheme="minorHAnsi"/>
      <w:sz w:val="20"/>
      <w:szCs w:val="20"/>
      <w:lang w:eastAsia="en-US"/>
    </w:rPr>
  </w:style>
  <w:style w:type="paragraph" w:styleId="947">
    <w:name w:val="Balloon Text"/>
    <w:basedOn w:val="727"/>
    <w:link w:val="793"/>
    <w:unhideWhenUsed/>
    <w:qFormat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48" w:customStyle="1">
    <w:name w:val="ListNum"/>
    <w:basedOn w:val="727"/>
    <w:qFormat/>
    <w:pPr>
      <w:numPr>
        <w:ilvl w:val="0"/>
        <w:numId w:val="2"/>
      </w:numPr>
      <w:pBdr/>
      <w:tabs>
        <w:tab w:val="left" w:leader="none" w:pos="284"/>
        <w:tab w:val="clear" w:leader="none" w:pos="708"/>
        <w:tab w:val="left" w:leader="none" w:pos="1070"/>
      </w:tabs>
      <w:spacing w:after="0" w:before="60"/>
      <w:ind w:firstLine="0" w:left="1070"/>
      <w:jc w:val="both"/>
    </w:pPr>
    <w:rPr>
      <w:sz w:val="22"/>
    </w:rPr>
  </w:style>
  <w:style w:type="paragraph" w:styleId="949" w:customStyle="1">
    <w:name w:val="Times 12"/>
    <w:basedOn w:val="727"/>
    <w:qFormat/>
    <w:pPr>
      <w:pBdr/>
      <w:spacing/>
      <w:ind w:firstLine="567"/>
      <w:jc w:val="both"/>
    </w:pPr>
    <w:rPr>
      <w:bCs/>
      <w:szCs w:val="22"/>
    </w:rPr>
  </w:style>
  <w:style w:type="paragraph" w:styleId="950" w:customStyle="1">
    <w:name w:val="Пункт б/н"/>
    <w:basedOn w:val="727"/>
    <w:qFormat/>
    <w:pPr>
      <w:pBdr/>
      <w:tabs>
        <w:tab w:val="clear" w:leader="none" w:pos="708"/>
        <w:tab w:val="left" w:leader="none" w:pos="1134"/>
      </w:tabs>
      <w:spacing w:line="360" w:lineRule="auto"/>
      <w:ind w:firstLine="567"/>
      <w:jc w:val="both"/>
    </w:pPr>
    <w:rPr>
      <w:bCs/>
      <w:sz w:val="22"/>
      <w:szCs w:val="22"/>
    </w:rPr>
  </w:style>
  <w:style w:type="paragraph" w:styleId="951">
    <w:name w:val="annotation subject"/>
    <w:basedOn w:val="946"/>
    <w:next w:val="946"/>
    <w:link w:val="794"/>
    <w:unhideWhenUsed/>
    <w:qFormat/>
    <w:pPr>
      <w:pBdr/>
      <w:spacing/>
      <w:ind/>
    </w:pPr>
    <w:rPr>
      <w:rFonts w:ascii="Times New Roman" w:hAnsi="Times New Roman" w:eastAsia="Times New Roman"/>
      <w:b/>
      <w:bCs/>
      <w:lang w:eastAsia="ru-RU"/>
    </w:rPr>
  </w:style>
  <w:style w:type="paragraph" w:styleId="952">
    <w:name w:val="toc 1"/>
    <w:basedOn w:val="727"/>
    <w:next w:val="727"/>
    <w:unhideWhenUsed/>
    <w:pPr>
      <w:pBdr/>
      <w:spacing w:after="100" w:before="0" w:line="259" w:lineRule="auto"/>
      <w:ind/>
      <w:jc w:val="both"/>
    </w:pPr>
    <w:rPr>
      <w:sz w:val="22"/>
      <w:szCs w:val="22"/>
      <w:lang w:val="en-US" w:eastAsia="en-US"/>
    </w:rPr>
  </w:style>
  <w:style w:type="paragraph" w:styleId="953" w:customStyle="1">
    <w:name w:val="Заголовок1"/>
    <w:basedOn w:val="727"/>
    <w:next w:val="905"/>
    <w:qFormat/>
    <w:pPr>
      <w:pBdr/>
      <w:shd w:val="clear" w:color="auto" w:fill="ffffff"/>
      <w:spacing w:line="360" w:lineRule="auto"/>
      <w:ind/>
      <w:jc w:val="center"/>
    </w:pPr>
    <w:rPr>
      <w:b/>
      <w:color w:val="000000"/>
      <w:lang w:eastAsia="zh-CN"/>
    </w:rPr>
  </w:style>
  <w:style w:type="paragraph" w:styleId="954" w:customStyle="1">
    <w:name w:val="Указатель6"/>
    <w:basedOn w:val="727"/>
    <w:qFormat/>
    <w:pPr>
      <w:suppressLineNumbers w:val="true"/>
      <w:pBdr/>
      <w:spacing/>
      <w:ind/>
    </w:pPr>
    <w:rPr>
      <w:lang w:eastAsia="zh-CN"/>
    </w:rPr>
  </w:style>
  <w:style w:type="paragraph" w:styleId="955" w:customStyle="1">
    <w:name w:val="Название объекта5"/>
    <w:basedOn w:val="727"/>
    <w:qFormat/>
    <w:pPr>
      <w:suppressLineNumbers w:val="true"/>
      <w:pBdr/>
      <w:spacing w:after="120" w:before="120"/>
      <w:ind/>
    </w:pPr>
    <w:rPr>
      <w:i/>
      <w:iCs/>
      <w:lang w:eastAsia="zh-CN"/>
    </w:rPr>
  </w:style>
  <w:style w:type="paragraph" w:styleId="956" w:customStyle="1">
    <w:name w:val="Указатель5"/>
    <w:basedOn w:val="727"/>
    <w:qFormat/>
    <w:pPr>
      <w:suppressLineNumbers w:val="true"/>
      <w:pBdr/>
      <w:spacing/>
      <w:ind/>
    </w:pPr>
    <w:rPr>
      <w:lang w:eastAsia="zh-CN"/>
    </w:rPr>
  </w:style>
  <w:style w:type="paragraph" w:styleId="957" w:customStyle="1">
    <w:name w:val="Название объекта4"/>
    <w:basedOn w:val="727"/>
    <w:qFormat/>
    <w:pPr>
      <w:suppressLineNumbers w:val="true"/>
      <w:pBdr/>
      <w:spacing w:after="120" w:before="120"/>
      <w:ind/>
    </w:pPr>
    <w:rPr>
      <w:rFonts w:cs="Lucida Sans"/>
      <w:i/>
      <w:iCs/>
      <w:lang w:eastAsia="zh-CN"/>
    </w:rPr>
  </w:style>
  <w:style w:type="paragraph" w:styleId="958" w:customStyle="1">
    <w:name w:val="Указатель4"/>
    <w:basedOn w:val="727"/>
    <w:qFormat/>
    <w:pPr>
      <w:suppressLineNumbers w:val="true"/>
      <w:pBdr/>
      <w:spacing/>
      <w:ind/>
    </w:pPr>
    <w:rPr>
      <w:rFonts w:cs="Lucida Sans"/>
      <w:lang w:eastAsia="zh-CN"/>
    </w:rPr>
  </w:style>
  <w:style w:type="paragraph" w:styleId="959" w:customStyle="1">
    <w:name w:val="Название объекта3"/>
    <w:basedOn w:val="727"/>
    <w:qFormat/>
    <w:pPr>
      <w:suppressLineNumbers w:val="true"/>
      <w:pBdr/>
      <w:spacing w:after="120" w:before="120"/>
      <w:ind/>
    </w:pPr>
    <w:rPr>
      <w:rFonts w:cs="Lucida Sans"/>
      <w:i/>
      <w:iCs/>
      <w:lang w:eastAsia="zh-CN"/>
    </w:rPr>
  </w:style>
  <w:style w:type="paragraph" w:styleId="960" w:customStyle="1">
    <w:name w:val="Указатель3"/>
    <w:basedOn w:val="727"/>
    <w:qFormat/>
    <w:pPr>
      <w:suppressLineNumbers w:val="true"/>
      <w:pBdr/>
      <w:spacing/>
      <w:ind/>
    </w:pPr>
    <w:rPr>
      <w:rFonts w:cs="Lucida Sans"/>
      <w:lang w:eastAsia="zh-CN"/>
    </w:rPr>
  </w:style>
  <w:style w:type="paragraph" w:styleId="961" w:customStyle="1">
    <w:name w:val="Название объекта2"/>
    <w:basedOn w:val="727"/>
    <w:qFormat/>
    <w:pPr>
      <w:suppressLineNumbers w:val="true"/>
      <w:pBdr/>
      <w:spacing w:after="120" w:before="120"/>
      <w:ind/>
    </w:pPr>
    <w:rPr>
      <w:rFonts w:cs="Lucida Sans"/>
      <w:i/>
      <w:iCs/>
      <w:lang w:eastAsia="zh-CN"/>
    </w:rPr>
  </w:style>
  <w:style w:type="paragraph" w:styleId="962" w:customStyle="1">
    <w:name w:val="Указатель2"/>
    <w:basedOn w:val="727"/>
    <w:qFormat/>
    <w:pPr>
      <w:suppressLineNumbers w:val="true"/>
      <w:pBdr/>
      <w:spacing/>
      <w:ind/>
    </w:pPr>
    <w:rPr>
      <w:rFonts w:cs="Lucida Sans"/>
      <w:lang w:eastAsia="zh-CN"/>
    </w:rPr>
  </w:style>
  <w:style w:type="paragraph" w:styleId="963" w:customStyle="1">
    <w:name w:val="Название объекта1"/>
    <w:basedOn w:val="727"/>
    <w:qFormat/>
    <w:pPr>
      <w:suppressLineNumbers w:val="true"/>
      <w:pBdr/>
      <w:spacing w:after="120" w:before="120"/>
      <w:ind/>
    </w:pPr>
    <w:rPr>
      <w:rFonts w:cs="Lucida Sans"/>
      <w:i/>
      <w:iCs/>
      <w:lang w:eastAsia="zh-CN"/>
    </w:rPr>
  </w:style>
  <w:style w:type="paragraph" w:styleId="964" w:customStyle="1">
    <w:name w:val="Указатель1"/>
    <w:basedOn w:val="727"/>
    <w:qFormat/>
    <w:pPr>
      <w:suppressLineNumbers w:val="true"/>
      <w:pBdr/>
      <w:spacing/>
      <w:ind/>
    </w:pPr>
    <w:rPr>
      <w:rFonts w:cs="Lucida Sans"/>
      <w:lang w:eastAsia="zh-CN"/>
    </w:rPr>
  </w:style>
  <w:style w:type="paragraph" w:styleId="965" w:customStyle="1">
    <w:name w:val="Стиль2"/>
    <w:basedOn w:val="727"/>
    <w:qFormat/>
    <w:pPr>
      <w:pBdr/>
      <w:spacing w:line="360" w:lineRule="auto"/>
      <w:ind/>
      <w:jc w:val="center"/>
    </w:pPr>
    <w:rPr>
      <w:b/>
      <w:bCs/>
      <w:sz w:val="28"/>
      <w:szCs w:val="28"/>
      <w:lang w:eastAsia="zh-CN"/>
    </w:rPr>
  </w:style>
  <w:style w:type="paragraph" w:styleId="966" w:customStyle="1">
    <w:name w:val="Таня"/>
    <w:basedOn w:val="727"/>
    <w:qFormat/>
    <w:pPr>
      <w:pBdr/>
      <w:spacing w:line="360" w:lineRule="auto"/>
      <w:ind w:firstLine="720"/>
      <w:jc w:val="both"/>
    </w:pPr>
    <w:rPr>
      <w:sz w:val="28"/>
      <w:szCs w:val="20"/>
      <w:lang w:eastAsia="zh-CN"/>
    </w:rPr>
  </w:style>
  <w:style w:type="paragraph" w:styleId="967" w:customStyle="1">
    <w:name w:val="Текст1"/>
    <w:basedOn w:val="727"/>
    <w:qFormat/>
    <w:pPr>
      <w:pBdr/>
      <w:spacing/>
      <w:ind/>
    </w:pPr>
    <w:rPr>
      <w:rFonts w:ascii="Courier New" w:hAnsi="Courier New" w:cs="Courier New"/>
      <w:sz w:val="20"/>
      <w:szCs w:val="20"/>
      <w:lang w:eastAsia="zh-CN"/>
    </w:rPr>
  </w:style>
  <w:style w:type="paragraph" w:styleId="968" w:customStyle="1">
    <w:name w:val="Con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969">
    <w:name w:val="Body Text Indent"/>
    <w:basedOn w:val="727"/>
    <w:link w:val="840"/>
    <w:pPr>
      <w:pBdr/>
      <w:shd w:val="clear" w:color="auto" w:fill="ffffff"/>
      <w:tabs>
        <w:tab w:val="clear" w:leader="none" w:pos="708"/>
        <w:tab w:val="left" w:leader="none" w:pos="1260"/>
      </w:tabs>
      <w:spacing/>
      <w:ind w:firstLine="720"/>
      <w:jc w:val="both"/>
    </w:pPr>
    <w:rPr>
      <w:color w:val="000000"/>
      <w:lang w:eastAsia="zh-CN"/>
    </w:rPr>
  </w:style>
  <w:style w:type="paragraph" w:styleId="970" w:customStyle="1">
    <w:name w:val="Основной текст 22"/>
    <w:basedOn w:val="727"/>
    <w:qFormat/>
    <w:pPr>
      <w:widowControl w:val="false"/>
      <w:pBdr/>
      <w:spacing w:after="0" w:before="120"/>
      <w:ind w:firstLine="709"/>
      <w:jc w:val="both"/>
    </w:pPr>
    <w:rPr>
      <w:szCs w:val="20"/>
      <w:lang w:eastAsia="zh-CN"/>
    </w:rPr>
  </w:style>
  <w:style w:type="paragraph" w:styleId="971" w:customStyle="1">
    <w:name w:val="Основной текст с отступом 21"/>
    <w:basedOn w:val="727"/>
    <w:qFormat/>
    <w:pPr>
      <w:pBdr/>
      <w:shd w:val="clear" w:color="auto" w:fill="ffffff"/>
      <w:tabs>
        <w:tab w:val="clear" w:leader="none" w:pos="708"/>
        <w:tab w:val="left" w:leader="none" w:pos="1260"/>
      </w:tabs>
      <w:spacing/>
      <w:ind w:firstLine="0" w:left="720"/>
      <w:jc w:val="both"/>
    </w:pPr>
    <w:rPr>
      <w:color w:val="000000"/>
      <w:lang w:eastAsia="zh-CN"/>
    </w:rPr>
  </w:style>
  <w:style w:type="paragraph" w:styleId="972" w:customStyle="1">
    <w:name w:val="Основной текст с отступом 31"/>
    <w:basedOn w:val="727"/>
    <w:qFormat/>
    <w:pPr>
      <w:pBdr/>
      <w:shd w:val="clear" w:color="auto" w:fill="ffffff"/>
      <w:spacing/>
      <w:ind w:firstLine="731" w:left="709"/>
      <w:jc w:val="both"/>
    </w:pPr>
    <w:rPr>
      <w:color w:val="000000"/>
      <w:lang w:eastAsia="zh-CN"/>
    </w:rPr>
  </w:style>
  <w:style w:type="paragraph" w:styleId="973" w:customStyle="1">
    <w:name w:val="Основной текст 31"/>
    <w:basedOn w:val="727"/>
    <w:qFormat/>
    <w:pPr>
      <w:pBdr/>
      <w:tabs>
        <w:tab w:val="clear" w:leader="none" w:pos="708"/>
        <w:tab w:val="left" w:leader="none" w:pos="1260"/>
      </w:tabs>
      <w:spacing/>
      <w:ind/>
      <w:jc w:val="both"/>
    </w:pPr>
    <w:rPr>
      <w:color w:val="000000"/>
      <w:lang w:eastAsia="zh-CN"/>
    </w:rPr>
  </w:style>
  <w:style w:type="paragraph" w:styleId="974">
    <w:name w:val="HTML Preformatted"/>
    <w:basedOn w:val="727"/>
    <w:link w:val="841"/>
    <w:qFormat/>
    <w:pPr>
      <w:pBdr/>
      <w:tabs>
        <w:tab w:val="clear" w:leader="none" w:pos="708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eastAsia="Courier New" w:cs="Courier New"/>
      <w:sz w:val="20"/>
      <w:szCs w:val="20"/>
      <w:lang w:eastAsia="zh-CN"/>
    </w:rPr>
  </w:style>
  <w:style w:type="paragraph" w:styleId="975" w:customStyle="1">
    <w:name w:val="Текст2"/>
    <w:basedOn w:val="727"/>
    <w:qFormat/>
    <w:pPr>
      <w:pBdr/>
      <w:spacing/>
      <w:ind/>
    </w:pPr>
    <w:rPr>
      <w:rFonts w:ascii="Courier New" w:hAnsi="Courier New" w:cs="Courier New"/>
      <w:sz w:val="20"/>
      <w:szCs w:val="20"/>
      <w:lang w:eastAsia="zh-CN"/>
    </w:rPr>
  </w:style>
  <w:style w:type="paragraph" w:styleId="976" w:customStyle="1">
    <w:name w:val="Текст примечания1"/>
    <w:basedOn w:val="727"/>
    <w:qFormat/>
    <w:pPr>
      <w:pBdr/>
      <w:spacing/>
      <w:ind/>
    </w:pPr>
    <w:rPr>
      <w:sz w:val="20"/>
      <w:szCs w:val="20"/>
      <w:lang w:eastAsia="zh-CN"/>
    </w:rPr>
  </w:style>
  <w:style w:type="paragraph" w:styleId="977" w:customStyle="1">
    <w:name w:val="Îñíîâíîé òåêñò"/>
    <w:basedOn w:val="727"/>
    <w:qFormat/>
    <w:pPr>
      <w:pBdr/>
      <w:spacing/>
      <w:ind/>
      <w:jc w:val="both"/>
    </w:pPr>
    <w:rPr>
      <w:lang w:eastAsia="zh-CN"/>
    </w:rPr>
  </w:style>
  <w:style w:type="paragraph" w:styleId="978" w:customStyle="1">
    <w:name w:val="Содержимое таблицы"/>
    <w:basedOn w:val="727"/>
    <w:qFormat/>
    <w:pPr>
      <w:suppressLineNumbers w:val="true"/>
      <w:pBdr/>
      <w:spacing/>
      <w:ind/>
    </w:pPr>
    <w:rPr>
      <w:lang w:eastAsia="zh-CN"/>
    </w:rPr>
  </w:style>
  <w:style w:type="paragraph" w:styleId="979" w:customStyle="1">
    <w:name w:val="Заголовок таблицы"/>
    <w:basedOn w:val="978"/>
    <w:qFormat/>
    <w:pPr>
      <w:pBdr/>
      <w:spacing/>
      <w:ind/>
      <w:jc w:val="center"/>
    </w:pPr>
    <w:rPr>
      <w:b/>
      <w:bCs/>
    </w:rPr>
  </w:style>
  <w:style w:type="paragraph" w:styleId="980" w:customStyle="1">
    <w:name w:val="Содержимое врезки"/>
    <w:basedOn w:val="905"/>
    <w:qFormat/>
    <w:pPr>
      <w:pBdr/>
      <w:tabs>
        <w:tab w:val="left" w:leader="none" w:pos="0"/>
        <w:tab w:val="clear" w:leader="none" w:pos="708"/>
      </w:tabs>
      <w:spacing w:after="0" w:before="0"/>
      <w:ind w:right="-81" w:firstLine="0"/>
    </w:pPr>
    <w:rPr>
      <w:b/>
      <w:bCs/>
      <w:lang w:eastAsia="zh-CN"/>
    </w:rPr>
  </w:style>
  <w:style w:type="paragraph" w:styleId="981" w:customStyle="1">
    <w:name w:val="Текст в заданном формате"/>
    <w:basedOn w:val="727"/>
    <w:qFormat/>
    <w:pPr>
      <w:pBdr/>
      <w:spacing/>
      <w:ind/>
    </w:pPr>
    <w:rPr>
      <w:rFonts w:ascii="DejaVu Sans Mono" w:hAnsi="DejaVu Sans Mono" w:eastAsia="DejaVu Sans Mono" w:cs="Lucida Sans"/>
      <w:sz w:val="20"/>
      <w:szCs w:val="20"/>
      <w:lang w:eastAsia="zh-CN"/>
    </w:rPr>
  </w:style>
  <w:style w:type="paragraph" w:styleId="982" w:customStyle="1">
    <w:name w:val="xl65"/>
    <w:basedOn w:val="727"/>
    <w:qFormat/>
    <w:pPr>
      <w:pBdr/>
      <w:spacing w:after="280" w:before="280"/>
      <w:ind/>
      <w:jc w:val="center"/>
    </w:pPr>
    <w:rPr>
      <w:sz w:val="20"/>
      <w:szCs w:val="20"/>
      <w:lang w:eastAsia="zh-CN"/>
    </w:rPr>
  </w:style>
  <w:style w:type="paragraph" w:styleId="983" w:customStyle="1">
    <w:name w:val="xl66"/>
    <w:basedOn w:val="727"/>
    <w:qFormat/>
    <w:pPr>
      <w:pBdr/>
      <w:spacing w:after="280" w:before="280"/>
      <w:ind/>
    </w:pPr>
    <w:rPr>
      <w:sz w:val="20"/>
      <w:szCs w:val="20"/>
      <w:lang w:eastAsia="zh-CN"/>
    </w:rPr>
  </w:style>
  <w:style w:type="paragraph" w:styleId="984" w:customStyle="1">
    <w:name w:val="xl67"/>
    <w:basedOn w:val="727"/>
    <w:qFormat/>
    <w:pPr>
      <w:pBdr/>
      <w:spacing w:after="280" w:before="280"/>
      <w:ind/>
      <w:jc w:val="center"/>
    </w:pPr>
    <w:rPr>
      <w:sz w:val="20"/>
      <w:szCs w:val="20"/>
      <w:lang w:eastAsia="zh-CN"/>
    </w:rPr>
  </w:style>
  <w:style w:type="paragraph" w:styleId="985" w:customStyle="1">
    <w:name w:val="xl69"/>
    <w:basedOn w:val="727"/>
    <w:qFormat/>
    <w:pPr>
      <w:pBdr/>
      <w:spacing w:after="280" w:before="280"/>
      <w:ind/>
    </w:pPr>
    <w:rPr>
      <w:sz w:val="20"/>
      <w:szCs w:val="20"/>
      <w:lang w:eastAsia="zh-CN"/>
    </w:rPr>
  </w:style>
  <w:style w:type="paragraph" w:styleId="986" w:customStyle="1">
    <w:name w:val="xl70"/>
    <w:basedOn w:val="727"/>
    <w:qFormat/>
    <w:pPr>
      <w:pBdr/>
      <w:spacing w:after="280" w:before="280"/>
      <w:ind/>
    </w:pPr>
    <w:rPr>
      <w:b/>
      <w:bCs/>
      <w:sz w:val="20"/>
      <w:szCs w:val="20"/>
      <w:lang w:eastAsia="zh-CN"/>
    </w:rPr>
  </w:style>
  <w:style w:type="paragraph" w:styleId="987" w:customStyle="1">
    <w:name w:val="xl71"/>
    <w:basedOn w:val="727"/>
    <w:qFormat/>
    <w:pPr>
      <w:pBdr/>
      <w:spacing w:after="280" w:before="280"/>
      <w:ind/>
    </w:pPr>
    <w:rPr>
      <w:lang w:eastAsia="zh-CN"/>
    </w:rPr>
  </w:style>
  <w:style w:type="paragraph" w:styleId="988" w:customStyle="1">
    <w:name w:val="xl72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89" w:customStyle="1">
    <w:name w:val="xl73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b/>
      <w:bCs/>
      <w:sz w:val="20"/>
      <w:szCs w:val="20"/>
      <w:lang w:eastAsia="zh-CN"/>
    </w:rPr>
  </w:style>
  <w:style w:type="paragraph" w:styleId="990" w:customStyle="1">
    <w:name w:val="xl74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b/>
      <w:bCs/>
      <w:sz w:val="20"/>
      <w:szCs w:val="20"/>
      <w:lang w:eastAsia="zh-CN"/>
    </w:rPr>
  </w:style>
  <w:style w:type="paragraph" w:styleId="991" w:customStyle="1">
    <w:name w:val="xl75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92" w:customStyle="1">
    <w:name w:val="xl76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93" w:customStyle="1">
    <w:name w:val="xl77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</w:pPr>
    <w:rPr>
      <w:sz w:val="20"/>
      <w:szCs w:val="20"/>
      <w:lang w:eastAsia="zh-CN"/>
    </w:rPr>
  </w:style>
  <w:style w:type="paragraph" w:styleId="994" w:customStyle="1">
    <w:name w:val="xl78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95" w:customStyle="1">
    <w:name w:val="xl79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96" w:customStyle="1">
    <w:name w:val="xl80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</w:pPr>
    <w:rPr>
      <w:sz w:val="20"/>
      <w:szCs w:val="20"/>
      <w:lang w:eastAsia="zh-CN"/>
    </w:rPr>
  </w:style>
  <w:style w:type="paragraph" w:styleId="997" w:customStyle="1">
    <w:name w:val="xl81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98" w:customStyle="1">
    <w:name w:val="xl82"/>
    <w:basedOn w:val="727"/>
    <w:qFormat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280" w:before="280"/>
      <w:ind/>
      <w:jc w:val="center"/>
    </w:pPr>
    <w:rPr>
      <w:sz w:val="20"/>
      <w:szCs w:val="20"/>
      <w:lang w:eastAsia="zh-CN"/>
    </w:rPr>
  </w:style>
  <w:style w:type="paragraph" w:styleId="999" w:customStyle="1">
    <w:name w:val="Стиль 5 пт По центру"/>
    <w:basedOn w:val="727"/>
    <w:qFormat/>
    <w:pPr>
      <w:pBdr/>
      <w:spacing/>
      <w:ind/>
      <w:jc w:val="center"/>
    </w:pPr>
    <w:rPr>
      <w:sz w:val="20"/>
      <w:szCs w:val="20"/>
      <w:lang w:eastAsia="zh-CN"/>
    </w:rPr>
  </w:style>
  <w:style w:type="paragraph" w:styleId="1000" w:customStyle="1">
    <w:name w:val="Стиль По центру"/>
    <w:basedOn w:val="727"/>
    <w:qFormat/>
    <w:pPr>
      <w:pBdr/>
      <w:spacing w:after="200" w:before="0" w:line="276" w:lineRule="auto"/>
      <w:ind/>
      <w:jc w:val="both"/>
    </w:pPr>
    <w:rPr>
      <w:szCs w:val="20"/>
      <w:lang w:eastAsia="ar-SA"/>
    </w:rPr>
  </w:style>
  <w:style w:type="paragraph" w:styleId="1001" w:customStyle="1">
    <w:name w:val="ConsPlusNormal"/>
    <w:link w:val="853"/>
    <w:qFormat/>
    <w:pPr>
      <w:widowControl w:val="true"/>
      <w:pBdr/>
      <w:spacing w:after="0" w:before="0"/>
      <w:ind w:firstLine="720"/>
      <w:jc w:val="left"/>
    </w:pPr>
    <w:rPr>
      <w:rFonts w:ascii="Arial" w:hAnsi="Arial" w:eastAsia="Times New Roman" w:cs="Times New Roman"/>
      <w:color w:val="auto"/>
      <w:sz w:val="20"/>
      <w:szCs w:val="20"/>
      <w:lang w:val="ru-RU" w:eastAsia="ru-RU" w:bidi="ar-SA"/>
    </w:rPr>
  </w:style>
  <w:style w:type="paragraph" w:styleId="1002">
    <w:name w:val="Normal (Web)"/>
    <w:basedOn w:val="727"/>
    <w:link w:val="854"/>
    <w:qFormat/>
    <w:pPr>
      <w:pBdr/>
      <w:spacing w:afterAutospacing="1" w:beforeAutospacing="1"/>
      <w:ind/>
    </w:pPr>
  </w:style>
  <w:style w:type="paragraph" w:styleId="1003" w:customStyle="1">
    <w:name w:val="Обычный (веб)1"/>
    <w:next w:val="927"/>
    <w:qFormat/>
    <w:pPr>
      <w:widowControl w:val="true"/>
      <w:pBdr/>
      <w:spacing w:after="280" w:before="28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ar-SA"/>
    </w:rPr>
  </w:style>
  <w:style w:type="paragraph" w:styleId="1004">
    <w:name w:val="index 1"/>
    <w:basedOn w:val="727"/>
    <w:next w:val="727"/>
    <w:uiPriority w:val="99"/>
    <w:semiHidden/>
    <w:unhideWhenUsed/>
    <w:qFormat/>
    <w:pPr>
      <w:pBdr/>
      <w:spacing/>
      <w:ind w:hanging="240" w:left="240"/>
    </w:pPr>
    <w:rPr>
      <w:lang w:eastAsia="zh-CN"/>
    </w:rPr>
  </w:style>
  <w:style w:type="paragraph" w:styleId="1005" w:customStyle="1">
    <w:name w:val="Пункт-3"/>
    <w:basedOn w:val="727"/>
    <w:qFormat/>
    <w:pPr>
      <w:pBdr/>
      <w:spacing w:line="288" w:lineRule="auto"/>
      <w:ind w:firstLine="567" w:left="1"/>
      <w:jc w:val="both"/>
    </w:pPr>
    <w:rPr>
      <w:lang w:eastAsia="zh-CN"/>
    </w:rPr>
  </w:style>
  <w:style w:type="paragraph" w:styleId="1006" w:customStyle="1">
    <w:name w:val="Пункт"/>
    <w:basedOn w:val="727"/>
    <w:qFormat/>
    <w:pPr>
      <w:pBdr/>
      <w:spacing w:line="360" w:lineRule="auto"/>
      <w:ind/>
      <w:jc w:val="both"/>
    </w:pPr>
    <w:rPr>
      <w:sz w:val="28"/>
      <w:szCs w:val="28"/>
      <w:lang w:val="en-US" w:eastAsia="zh-CN"/>
    </w:rPr>
  </w:style>
  <w:style w:type="paragraph" w:styleId="1007">
    <w:name w:val="List Continue"/>
    <w:basedOn w:val="727"/>
    <w:qFormat/>
    <w:pPr>
      <w:pBdr/>
      <w:spacing w:after="120" w:before="0"/>
      <w:ind w:firstLine="0" w:left="283"/>
    </w:pPr>
    <w:rPr>
      <w:lang w:eastAsia="zh-CN"/>
    </w:rPr>
  </w:style>
  <w:style w:type="paragraph" w:styleId="1008" w:customStyle="1">
    <w:name w:val="Стиль5"/>
    <w:basedOn w:val="727"/>
    <w:qFormat/>
    <w:pPr>
      <w:pBdr/>
      <w:spacing w:line="360" w:lineRule="auto"/>
      <w:ind/>
      <w:jc w:val="both"/>
    </w:pPr>
  </w:style>
  <w:style w:type="paragraph" w:styleId="1009" w:customStyle="1">
    <w:name w:val="Пункт-4"/>
    <w:basedOn w:val="727"/>
    <w:qFormat/>
    <w:pPr>
      <w:pBdr/>
      <w:spacing w:line="288" w:lineRule="auto"/>
      <w:ind w:firstLine="567" w:left="-283"/>
      <w:jc w:val="both"/>
    </w:pPr>
    <w:rPr>
      <w:sz w:val="28"/>
      <w:lang w:eastAsia="zh-CN"/>
    </w:rPr>
  </w:style>
  <w:style w:type="paragraph" w:styleId="1010" w:customStyle="1">
    <w:name w:val="Пункт-5"/>
    <w:basedOn w:val="727"/>
    <w:qFormat/>
    <w:pPr>
      <w:pBdr/>
      <w:spacing w:line="288" w:lineRule="auto"/>
      <w:ind w:firstLine="567"/>
      <w:jc w:val="both"/>
    </w:pPr>
    <w:rPr>
      <w:sz w:val="28"/>
      <w:lang w:eastAsia="zh-CN"/>
    </w:rPr>
  </w:style>
  <w:style w:type="paragraph" w:styleId="1011" w:customStyle="1">
    <w:name w:val="Пункт-6"/>
    <w:basedOn w:val="727"/>
    <w:qFormat/>
    <w:pPr>
      <w:pBdr/>
      <w:spacing w:line="288" w:lineRule="auto"/>
      <w:ind w:firstLine="567" w:left="568"/>
      <w:jc w:val="both"/>
    </w:pPr>
    <w:rPr>
      <w:sz w:val="28"/>
      <w:lang w:eastAsia="zh-CN"/>
    </w:rPr>
  </w:style>
  <w:style w:type="paragraph" w:styleId="1012" w:customStyle="1">
    <w:name w:val="Пункт-7"/>
    <w:basedOn w:val="727"/>
    <w:qFormat/>
    <w:pPr>
      <w:pBdr/>
      <w:spacing w:line="288" w:lineRule="auto"/>
      <w:ind w:firstLine="567"/>
      <w:jc w:val="both"/>
    </w:pPr>
    <w:rPr>
      <w:sz w:val="28"/>
      <w:lang w:eastAsia="zh-CN"/>
    </w:rPr>
  </w:style>
  <w:style w:type="paragraph" w:styleId="1013" w:customStyle="1">
    <w:name w:val="3"/>
    <w:basedOn w:val="727"/>
    <w:qFormat/>
    <w:pPr>
      <w:pBdr/>
      <w:spacing/>
      <w:ind/>
      <w:jc w:val="both"/>
    </w:pPr>
    <w:rPr>
      <w:lang w:eastAsia="zh-CN"/>
    </w:rPr>
  </w:style>
  <w:style w:type="paragraph" w:styleId="1014" w:customStyle="1">
    <w:name w:val="02statia2"/>
    <w:basedOn w:val="727"/>
    <w:qFormat/>
    <w:pPr>
      <w:pBdr/>
      <w:spacing w:after="0" w:before="120" w:line="320" w:lineRule="atLeast"/>
      <w:ind w:hanging="880" w:left="2020"/>
      <w:jc w:val="both"/>
    </w:pPr>
    <w:rPr>
      <w:rFonts w:ascii="GaramondNarrowC" w:hAnsi="GaramondNarrowC" w:cs="GaramondNarrowC"/>
      <w:color w:val="000000"/>
      <w:sz w:val="21"/>
      <w:szCs w:val="21"/>
      <w:lang w:eastAsia="zh-CN"/>
    </w:rPr>
  </w:style>
  <w:style w:type="paragraph" w:styleId="1015">
    <w:name w:val="Body Text Indent 3"/>
    <w:basedOn w:val="727"/>
    <w:link w:val="900"/>
    <w:qFormat/>
    <w:pPr>
      <w:pBdr/>
      <w:spacing w:after="120" w:before="0"/>
      <w:ind w:firstLine="0" w:left="283"/>
    </w:pPr>
    <w:rPr>
      <w:sz w:val="16"/>
      <w:szCs w:val="16"/>
      <w:lang w:val="en-US" w:eastAsia="zh-CN"/>
    </w:rPr>
  </w:style>
  <w:style w:type="paragraph" w:styleId="1016" w:customStyle="1">
    <w:name w:val="Таблица шапка"/>
    <w:basedOn w:val="727"/>
    <w:qFormat/>
    <w:pPr>
      <w:keepNext w:val="true"/>
      <w:pBdr/>
      <w:spacing w:after="40" w:before="40"/>
      <w:ind w:right="57" w:firstLine="0" w:left="57"/>
    </w:pPr>
    <w:rPr>
      <w:sz w:val="22"/>
      <w:szCs w:val="20"/>
      <w:lang w:eastAsia="zh-CN"/>
    </w:rPr>
  </w:style>
  <w:style w:type="paragraph" w:styleId="1017" w:customStyle="1">
    <w:name w:val="Таблица текст"/>
    <w:basedOn w:val="727"/>
    <w:qFormat/>
    <w:pPr>
      <w:pBdr/>
      <w:spacing w:after="40" w:before="40"/>
      <w:ind w:right="57" w:firstLine="0" w:left="57"/>
    </w:pPr>
    <w:rPr>
      <w:szCs w:val="20"/>
      <w:lang w:eastAsia="zh-CN"/>
    </w:rPr>
  </w:style>
  <w:style w:type="paragraph" w:styleId="1018" w:customStyle="1">
    <w:name w:val="Ариал"/>
    <w:basedOn w:val="727"/>
    <w:qFormat/>
    <w:pPr>
      <w:pBdr/>
      <w:spacing w:after="120" w:before="120" w:line="360" w:lineRule="auto"/>
      <w:ind w:firstLine="851"/>
      <w:jc w:val="both"/>
    </w:pPr>
    <w:rPr>
      <w:rFonts w:ascii="Arial" w:hAnsi="Arial" w:cs="Arial"/>
      <w:lang w:val="en-US" w:eastAsia="zh-CN"/>
    </w:rPr>
  </w:style>
  <w:style w:type="paragraph" w:styleId="1019" w:customStyle="1">
    <w:name w:val="Ариал Таблица"/>
    <w:basedOn w:val="1018"/>
    <w:qFormat/>
    <w:pPr>
      <w:widowControl w:val="false"/>
      <w:pBdr/>
      <w:spacing w:after="0" w:before="0" w:line="240" w:lineRule="auto"/>
      <w:ind w:firstLine="0"/>
    </w:pPr>
    <w:rPr>
      <w:szCs w:val="20"/>
    </w:rPr>
  </w:style>
  <w:style w:type="paragraph" w:styleId="1020" w:customStyle="1">
    <w:name w:val="Стиль3 Знак"/>
    <w:basedOn w:val="936"/>
    <w:qFormat/>
    <w:pPr>
      <w:widowControl w:val="false"/>
      <w:pBdr/>
      <w:spacing w:after="0" w:before="0" w:line="240" w:lineRule="auto"/>
      <w:ind w:firstLine="0" w:left="0"/>
      <w:jc w:val="both"/>
    </w:pPr>
    <w:rPr>
      <w:szCs w:val="20"/>
      <w:lang w:val="en-US" w:eastAsia="zh-CN"/>
    </w:rPr>
  </w:style>
  <w:style w:type="paragraph" w:styleId="1021" w:customStyle="1">
    <w:name w:val="Стиль"/>
    <w:qFormat/>
    <w:pPr>
      <w:widowControl w:val="false"/>
      <w:pBdr/>
      <w:spacing w:after="120" w:before="120"/>
      <w:ind w:hanging="426" w:left="426"/>
      <w:jc w:val="center"/>
    </w:pPr>
    <w:rPr>
      <w:rFonts w:ascii="Times New Roman" w:hAnsi="Times New Roman" w:eastAsia="Calibri" w:cs="Times New Roman" w:eastAsiaTheme="minorHAnsi"/>
      <w:b/>
      <w:color w:val="auto"/>
      <w:sz w:val="20"/>
      <w:szCs w:val="20"/>
      <w:lang w:val="ru-RU" w:eastAsia="zh-CN" w:bidi="ar-SA"/>
    </w:rPr>
  </w:style>
  <w:style w:type="paragraph" w:styleId="1022" w:customStyle="1">
    <w:name w:val="paragraph"/>
    <w:basedOn w:val="727"/>
    <w:qFormat/>
    <w:pPr>
      <w:pBdr/>
      <w:spacing/>
      <w:ind w:firstLine="567"/>
    </w:pPr>
    <w:rPr>
      <w:lang w:eastAsia="zh-CN"/>
    </w:rPr>
  </w:style>
  <w:style w:type="paragraph" w:styleId="1023">
    <w:name w:val="Plain Text"/>
    <w:basedOn w:val="727"/>
    <w:link w:val="901"/>
    <w:qFormat/>
    <w:pPr>
      <w:pBdr/>
      <w:spacing/>
      <w:ind/>
    </w:pPr>
    <w:rPr>
      <w:rFonts w:ascii="Courier New" w:hAnsi="Courier New" w:cs="Courier New"/>
      <w:sz w:val="20"/>
      <w:szCs w:val="20"/>
      <w:lang w:val="en-US" w:eastAsia="zh-CN"/>
    </w:rPr>
  </w:style>
  <w:style w:type="paragraph" w:styleId="1024" w:customStyle="1">
    <w:name w:val="western"/>
    <w:basedOn w:val="727"/>
    <w:qFormat/>
    <w:pPr>
      <w:pBdr/>
      <w:spacing w:after="280" w:before="280"/>
      <w:ind/>
    </w:pPr>
    <w:rPr>
      <w:lang w:eastAsia="zh-CN"/>
    </w:rPr>
  </w:style>
  <w:style w:type="paragraph" w:styleId="1025" w:customStyle="1">
    <w:name w:val="Пункт_3"/>
    <w:basedOn w:val="727"/>
    <w:qFormat/>
    <w:pPr>
      <w:pBdr/>
      <w:spacing/>
      <w:ind w:hanging="360" w:left="2302"/>
      <w:jc w:val="both"/>
    </w:pPr>
    <w:rPr>
      <w:sz w:val="28"/>
      <w:szCs w:val="28"/>
      <w:lang w:eastAsia="zh-CN"/>
    </w:rPr>
  </w:style>
  <w:style w:type="paragraph" w:styleId="1026" w:customStyle="1">
    <w:name w:val="Normal unindented"/>
    <w:qFormat/>
    <w:pPr>
      <w:widowControl w:val="true"/>
      <w:pBdr/>
      <w:spacing w:after="120" w:before="120" w:line="276" w:lineRule="auto"/>
      <w:ind/>
      <w:jc w:val="both"/>
    </w:pPr>
    <w:rPr>
      <w:rFonts w:ascii="Times New Roman" w:hAnsi="Times New Roman" w:eastAsia="Times New Roman" w:cs="Times New Roman"/>
      <w:color w:val="auto"/>
      <w:sz w:val="22"/>
      <w:szCs w:val="22"/>
      <w:lang w:val="ru-RU" w:eastAsia="zh-CN" w:bidi="ar-SA"/>
    </w:rPr>
  </w:style>
  <w:style w:type="paragraph" w:styleId="1027" w:customStyle="1">
    <w:name w:val="Text Normal"/>
    <w:basedOn w:val="727"/>
    <w:qFormat/>
    <w:pPr>
      <w:widowControl w:val="false"/>
      <w:pBdr/>
      <w:spacing w:after="120" w:before="0"/>
      <w:ind w:right="-1" w:hanging="283" w:left="850"/>
      <w:jc w:val="both"/>
    </w:pPr>
    <w:rPr>
      <w:rFonts w:ascii="Arial" w:hAnsi="Arial" w:cs="Arial"/>
      <w:sz w:val="22"/>
      <w:szCs w:val="22"/>
      <w:lang w:eastAsia="zh-CN"/>
    </w:rPr>
  </w:style>
  <w:style w:type="paragraph" w:styleId="1028">
    <w:name w:val="List Bullet"/>
    <w:basedOn w:val="727"/>
    <w:qFormat/>
    <w:pPr>
      <w:numPr>
        <w:ilvl w:val="0"/>
        <w:numId w:val="5"/>
      </w:numPr>
      <w:pBdr/>
      <w:spacing w:after="0" w:before="0"/>
      <w:ind/>
      <w:contextualSpacing w:val="true"/>
    </w:pPr>
    <w:rPr>
      <w:lang w:eastAsia="zh-CN"/>
    </w:rPr>
  </w:style>
  <w:style w:type="numbering" w:styleId="1029" w:default="1">
    <w:name w:val="No List"/>
    <w:uiPriority w:val="99"/>
    <w:semiHidden/>
    <w:unhideWhenUsed/>
    <w:qFormat/>
    <w:pPr>
      <w:pBdr/>
      <w:spacing/>
      <w:ind/>
    </w:pPr>
  </w:style>
  <w:style w:type="numbering" w:styleId="1030" w:customStyle="1">
    <w:name w:val="WW8Num3"/>
    <w:qFormat/>
    <w:pPr>
      <w:pBdr/>
      <w:spacing/>
      <w:ind/>
    </w:pPr>
  </w:style>
  <w:style w:type="table" w:styleId="1031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Table Grid Light"/>
    <w:basedOn w:val="103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Plain Table 1"/>
    <w:basedOn w:val="103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Plain Table 2"/>
    <w:basedOn w:val="103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Plain Table 3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Plain Table 4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Plain Table 5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Grid Table 1 Light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1 Light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1 Light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1 Light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Grid Table 1 Light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Grid Table 1 Light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Grid Table 1 Light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Grid Table 2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Grid Table 2 - Accent 1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Grid Table 2 - Accent 2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Grid Table 2 - Accent 3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Grid Table 2 - Accent 4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Grid Table 2 - Accent 5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Grid Table 2 - Accent 6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Grid Table 3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Grid Table 3 - Accent 1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Grid Table 3 - Accent 2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Grid Table 3 - Accent 3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Grid Table 3 - Accent 4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Grid Table 3 - Accent 5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Grid Table 3 - Accent 6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Grid Table 4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Grid Table 4 - Accent 1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Grid Table 4 - Accent 2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Grid Table 4 - Accent 3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Grid Table 4 - Accent 4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Grid Table 4 - Accent 5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Grid Table 4 - Accent 6"/>
    <w:basedOn w:val="1031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Grid Table 5 Dark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Grid Table 5 Dark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Grid Table 5 Dark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Grid Table 5 Dark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Grid Table 5 Dark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Grid Table 5 Dark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Grid Table 5 Dark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Grid Table 6 Colorful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Grid Table 6 Colorful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Grid Table 6 Colorful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Grid Table 6 Colorful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Grid Table 6 Colorful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Grid Table 6 Colorful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Grid Table 6 Colorful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Grid Table 7 Colorful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Grid Table 7 Colorful - Accent 1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Grid Table 7 Colorful - Accent 2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Grid Table 7 Colorful - Accent 3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Grid Table 7 Colorful - Accent 4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Grid Table 7 Colorful - Accent 5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Grid Table 7 Colorful - Accent 6"/>
    <w:basedOn w:val="1031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List Table 1 Light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1 Light - Accent 1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1 Light - Accent 2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1 Light - Accent 3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st Table 1 Light - Accent 4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st Table 1 Light - Accent 5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st Table 1 Light - Accent 6"/>
    <w:basedOn w:val="103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>
    <w:name w:val="List Table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st Table 2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st Table 2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st Table 2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List Table 2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List Table 2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List Table 2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>
    <w:name w:val="List Table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List Table 3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List Table 3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List Table 3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List Table 3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List Table 3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List Table 3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>
    <w:name w:val="List Table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List Table 4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List Table 4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List Table 4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 w:customStyle="1">
    <w:name w:val="List Table 4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 w:customStyle="1">
    <w:name w:val="List Table 4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 w:customStyle="1">
    <w:name w:val="List Table 4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>
    <w:name w:val="List Table 5 Dark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 w:customStyle="1">
    <w:name w:val="List Table 5 Dark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 w:customStyle="1">
    <w:name w:val="List Table 5 Dark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 w:customStyle="1">
    <w:name w:val="List Table 5 Dark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c9c9c9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 w:customStyle="1">
    <w:name w:val="List Table 5 Dark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 w:customStyle="1">
    <w:name w:val="List Table 5 Dark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8da9db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 w:customStyle="1">
    <w:name w:val="List Table 5 Dark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a9d08e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2">
    <w:name w:val="List Table 6 Colorful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3" w:customStyle="1">
    <w:name w:val="List Table 6 Colorful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 w:customStyle="1">
    <w:name w:val="List Table 6 Colorful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5" w:customStyle="1">
    <w:name w:val="List Table 6 Colorful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6" w:customStyle="1">
    <w:name w:val="List Table 6 Colorful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 w:customStyle="1">
    <w:name w:val="List Table 6 Colorful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8" w:customStyle="1">
    <w:name w:val="List Table 6 Colorful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9">
    <w:name w:val="List Table 7 Colorful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0" w:customStyle="1">
    <w:name w:val="List Table 7 Colorful - Accent 1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1" w:customStyle="1">
    <w:name w:val="List Table 7 Colorful - Accent 2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2" w:customStyle="1">
    <w:name w:val="List Table 7 Colorful - Accent 3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3" w:customStyle="1">
    <w:name w:val="List Table 7 Colorful - Accent 4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4" w:customStyle="1">
    <w:name w:val="List Table 7 Colorful - Accent 5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5" w:customStyle="1">
    <w:name w:val="List Table 7 Colorful - Accent 6"/>
    <w:basedOn w:val="1031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6" w:customStyle="1">
    <w:name w:val="Lined - Accent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7" w:customStyle="1">
    <w:name w:val="Lined - Accent 1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8" w:customStyle="1">
    <w:name w:val="Lined - Accent 2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9" w:customStyle="1">
    <w:name w:val="Lined - Accent 3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0" w:customStyle="1">
    <w:name w:val="Lined - Accent 4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1" w:customStyle="1">
    <w:name w:val="Lined - Accent 5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2" w:customStyle="1">
    <w:name w:val="Lined - Accent 6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 w:customStyle="1">
    <w:name w:val="Bordered &amp; Lined - Accent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 w:customStyle="1">
    <w:name w:val="Bordered &amp; Lined - Accent 1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 w:customStyle="1">
    <w:name w:val="Bordered &amp; Lined - Accent 2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 w:customStyle="1">
    <w:name w:val="Bordered &amp; Lined - Accent 3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 w:customStyle="1">
    <w:name w:val="Bordered &amp; Lined - Accent 4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 w:customStyle="1">
    <w:name w:val="Bordered &amp; Lined - Accent 5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Bordered &amp; Lined - Accent 6"/>
    <w:basedOn w:val="1031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Bordered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Bordered - Accent 1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Bordered - Accent 2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Bordered - Accent 3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4" w:customStyle="1">
    <w:name w:val="Bordered - Accent 4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5" w:customStyle="1">
    <w:name w:val="Bordered - Accent 5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6" w:customStyle="1">
    <w:name w:val="Bordered - Accent 6"/>
    <w:basedOn w:val="1031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7">
    <w:name w:val="Table Grid"/>
    <w:basedOn w:val="103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8" w:customStyle="1">
    <w:name w:val="Сетка таблицы1"/>
    <w:basedOn w:val="103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consultantplus://offline/ref=224DA882DFB7DD89826BF54A7706B6F19570CAFA77E2E597A5ED6C920BA39FCA69111143AEAA8C0E9A9992C08DF7D4E7A23EE05D5Di1C5F" TargetMode="External"/><Relationship Id="rId11" Type="http://schemas.openxmlformats.org/officeDocument/2006/relationships/hyperlink" Target="consultantplus://offline/ref=224DA882DFB7DD89826BF54A7706B6F19570CDFC77EEE597A5ED6C920BA39FCA69111145A6AC85519F8C839881F6CAF9A426FC5F5F16i1CBF" TargetMode="External"/><Relationship Id="rId12" Type="http://schemas.openxmlformats.org/officeDocument/2006/relationships/hyperlink" Target="consultantplus://offline/ref=224DA882DFB7DD89826BF54A7706B6F19570CDFC77EEE597A5ED6C920BA39FCA69111147AEA883519F8C839881F6CAF9A426FC5F5F16i1CBF" TargetMode="External"/><Relationship Id="rId13" Type="http://schemas.openxmlformats.org/officeDocument/2006/relationships/hyperlink" Target="consultantplus://offline/ref=224DA882DFB7DD89826BF54A7706B6F19570CEFF73E6E597A5ED6C920BA39FCA69111147AFA98F53CCD6939CC8A2C7E6A43EE25B41161A29i6C0F" TargetMode="External"/><Relationship Id="rId14" Type="http://schemas.openxmlformats.org/officeDocument/2006/relationships/hyperlink" Target="consultantplus://offline/ref=224DA882DFB7DD89826BF54A7706B6F19570CEFF73E6E597A5ED6C920BA39FCA69111144AFAD83519F8C839881F6CAF9A426FC5F5F16i1CBF" TargetMode="External"/><Relationship Id="rId15" Type="http://schemas.openxmlformats.org/officeDocument/2006/relationships/hyperlink" Target="consultantplus://offline/ref=224DA882DFB7DD89826BF54A7706B6F19570CEFF73E6E597A5ED6C920BA39FCA69111144AFAF85519F8C839881F6CAF9A426FC5F5F16i1CBF" TargetMode="External"/><Relationship Id="rId16" Type="http://schemas.openxmlformats.org/officeDocument/2006/relationships/hyperlink" Target="consultantplus://offline/ref=224DA882DFB7DD89826BF54A7706B6F19570CEFF73E6E597A5ED6C920BA39FCA69111144AFA081519F8C839881F6CAF9A426FC5F5F16i1CBF" TargetMode="External"/><Relationship Id="rId17" Type="http://schemas.openxmlformats.org/officeDocument/2006/relationships/hyperlink" Target="consultantplus://offline/ref=224DA882DFB7DD89826BF54A7706B6F19570CAFA77E2E597A5ED6C920BA39FCA69111144A9AA87519F8C839881F6CAF9A426FC5F5F16i1CBF" TargetMode="External"/><Relationship Id="rId18" Type="http://schemas.openxmlformats.org/officeDocument/2006/relationships/hyperlink" Target="consultantplus://offline/ref=B5199C083043C5A68AD2121A7B6DF8F9B6A4096697AC60CB4E484921E8ADDB178464FBD20F4C38B52AF81BBB05BA96868E5D314CB1s9n6F" TargetMode="External"/><Relationship Id="rId19" Type="http://schemas.openxmlformats.org/officeDocument/2006/relationships/hyperlink" Target="https://login.consultant.ru/link/?req=doc&amp;base=LAW&amp;n=505888&amp;dst=225&amp;field=134&amp;date=05.09.2025" TargetMode="External"/><Relationship Id="rId20" Type="http://schemas.openxmlformats.org/officeDocument/2006/relationships/hyperlink" Target="https://login.consultant.ru/link/?req=doc&amp;base=LAW&amp;n=511948&amp;dst=1170&amp;field=134&amp;date=05.09.2025" TargetMode="External"/><Relationship Id="rId21" Type="http://schemas.openxmlformats.org/officeDocument/2006/relationships/hyperlink" Target="https://login.consultant.ru/link/?req=doc&amp;base=LAW&amp;n=513601&amp;dst=100704&amp;field=134&amp;date=09.09.2025" TargetMode="External"/><Relationship Id="rId22" Type="http://schemas.openxmlformats.org/officeDocument/2006/relationships/hyperlink" Target="https://login.consultant.ru/link/?req=doc&amp;base=LAW&amp;n=538739&amp;dst=110159&amp;field=134&amp;date=10.08.2026" TargetMode="External"/><Relationship Id="rId23" Type="http://schemas.openxmlformats.org/officeDocument/2006/relationships/hyperlink" Target="https://login.consultant.ru/link/?req=doc&amp;base=LAW&amp;n=538739&amp;dst=111639&amp;field=134&amp;date=10.08.2026" TargetMode="External"/><Relationship Id="rId24" Type="http://schemas.openxmlformats.org/officeDocument/2006/relationships/hyperlink" Target="https://login.consultant.ru/link/?req=doc&amp;base=LAW&amp;n=451182&amp;dst=100024&amp;field=134&amp;date=03.09.2025" TargetMode="External"/><Relationship Id="rId25" Type="http://schemas.openxmlformats.org/officeDocument/2006/relationships/hyperlink" Target="https://login.consultant.ru/link/?req=doc&amp;base=LAW&amp;n=451182&amp;dst=100024&amp;field=134&amp;date=03.09.2025" TargetMode="External"/><Relationship Id="rId26" Type="http://schemas.openxmlformats.org/officeDocument/2006/relationships/hyperlink" Target="https://login.consultant.ru/link/?req=doc&amp;base=LAW&amp;n=301290&amp;dst=100017&amp;field=134&amp;date=03.02.2026" TargetMode="External"/><Relationship Id="rId27" Type="http://schemas.openxmlformats.org/officeDocument/2006/relationships/hyperlink" Target="https://login.consultant.ru/link/?req=doc&amp;base=LAW&amp;n=301290&amp;dst=100017&amp;field=134&amp;date=03.02.2026" TargetMode="External"/><Relationship Id="rId28" Type="http://schemas.openxmlformats.org/officeDocument/2006/relationships/hyperlink" Target="https://login.consultant.ru/link/?req=doc&amp;base=LAW&amp;n=524024&amp;dst=137&amp;field=134&amp;date=06.07.2026" TargetMode="External"/><Relationship Id="rId29" Type="http://schemas.openxmlformats.org/officeDocument/2006/relationships/hyperlink" Target="https://login.consultant.ru/link/?req=doc&amp;base=LAW&amp;n=524024&amp;dst=143&amp;field=134&amp;date=06.07.2026" TargetMode="External"/><Relationship Id="rId30" Type="http://schemas.openxmlformats.org/officeDocument/2006/relationships/hyperlink" Target="https://login.consultant.ru/link/?req=doc&amp;base=LAW&amp;n=523307&amp;dst=478&amp;field=134&amp;date=06.07.2026" TargetMode="External"/><Relationship Id="rId31" Type="http://schemas.openxmlformats.org/officeDocument/2006/relationships/hyperlink" Target="https://login.consultant.ru/link/?req=doc&amp;base=LAW&amp;n=524024&amp;dst=137&amp;field=134&amp;date=06.07.2026" TargetMode="External"/><Relationship Id="rId32" Type="http://schemas.openxmlformats.org/officeDocument/2006/relationships/hyperlink" Target="https://login.consultant.ru/link/?req=doc&amp;base=LAW&amp;n=524024&amp;dst=143&amp;field=134&amp;date=06.07.2026" TargetMode="External"/><Relationship Id="rId33" Type="http://schemas.openxmlformats.org/officeDocument/2006/relationships/hyperlink" Target="https://login.consultant.ru/link/?req=doc&amp;base=LAW&amp;n=505888&amp;dst=225&amp;field=134&amp;date=05.09.2025" TargetMode="External"/><Relationship Id="rId34" Type="http://schemas.openxmlformats.org/officeDocument/2006/relationships/hyperlink" Target="https://login.consultant.ru/link/?req=doc&amp;base=LAW&amp;n=511948&amp;dst=1170&amp;field=134&amp;date=05.09.2025" TargetMode="External"/><Relationship Id="rId35" Type="http://schemas.openxmlformats.org/officeDocument/2006/relationships/hyperlink" Target="https://login.consultant.ru/link/?req=doc&amp;base=LAW&amp;n=513601&amp;dst=101563&amp;field=134&amp;date=09.09.2025" TargetMode="External"/><Relationship Id="rId36" Type="http://schemas.openxmlformats.org/officeDocument/2006/relationships/hyperlink" Target="https://login.consultant.ru/link/?req=doc&amp;base=LAW&amp;n=513601&amp;dst=101572&amp;field=134&amp;date=09.09.2025" TargetMode="External"/><Relationship Id="rId37" Type="http://schemas.openxmlformats.org/officeDocument/2006/relationships/hyperlink" Target="https://login.consultant.ru/link/?req=doc&amp;base=LAW&amp;n=513601&amp;dst=101635&amp;field=134&amp;date=09.09.2025" TargetMode="External"/><Relationship Id="rId38" Type="http://schemas.openxmlformats.org/officeDocument/2006/relationships/hyperlink" Target="https://login.consultant.ru/link/?req=doc&amp;base=LAW&amp;n=513601&amp;dst=101641&amp;field=134&amp;date=09.09.2025" TargetMode="External"/><Relationship Id="rId39" Type="http://schemas.openxmlformats.org/officeDocument/2006/relationships/hyperlink" Target="https://login.consultant.ru/link/?req=doc&amp;base=LAW&amp;n=513601&amp;dst=101656&amp;field=134&amp;date=09.09.2025" TargetMode="External"/><Relationship Id="rId40" Type="http://schemas.openxmlformats.org/officeDocument/2006/relationships/hyperlink" Target="https://login.consultant.ru/link/?req=doc&amp;base=LAW&amp;n=513601&amp;dst=101662&amp;field=134&amp;date=09.09.2025" TargetMode="External"/><Relationship Id="rId41" Type="http://schemas.openxmlformats.org/officeDocument/2006/relationships/hyperlink" Target="https://login.consultant.ru/link/?req=doc&amp;base=LAW&amp;n=513601&amp;dst=101673&amp;field=134&amp;date=09.09.2025" TargetMode="External"/><Relationship Id="rId42" Type="http://schemas.openxmlformats.org/officeDocument/2006/relationships/hyperlink" Target="https://login.consultant.ru/link/?req=doc&amp;base=LAW&amp;n=513601&amp;dst=101682&amp;field=134&amp;date=09.09.2025" TargetMode="External"/><Relationship Id="rId43" Type="http://schemas.openxmlformats.org/officeDocument/2006/relationships/hyperlink" Target="https://login.consultant.ru/link/?req=doc&amp;base=LAW&amp;n=513601&amp;dst=101688&amp;field=134&amp;date=09.09.2025" TargetMode="External"/><Relationship Id="rId44" Type="http://schemas.openxmlformats.org/officeDocument/2006/relationships/hyperlink" Target="https://login.consultant.ru/link/?req=doc&amp;base=LAW&amp;n=513601&amp;dst=101694&amp;field=134&amp;date=09.09.2025" TargetMode="External"/><Relationship Id="rId45" Type="http://schemas.openxmlformats.org/officeDocument/2006/relationships/hyperlink" Target="https://login.consultant.ru/link/?req=doc&amp;base=LAW&amp;n=513601&amp;dst=101700&amp;field=134&amp;date=09.09.2025" TargetMode="External"/><Relationship Id="rId46" Type="http://schemas.openxmlformats.org/officeDocument/2006/relationships/hyperlink" Target="https://login.consultant.ru/link/?req=doc&amp;base=LAW&amp;n=513601&amp;dst=101706&amp;field=134&amp;date=09.09.2025" TargetMode="External"/><Relationship Id="rId47" Type="http://schemas.openxmlformats.org/officeDocument/2006/relationships/hyperlink" Target="https://login.consultant.ru/link/?req=doc&amp;base=LAW&amp;n=513601&amp;dst=101748&amp;field=134&amp;date=09.09.2025" TargetMode="External"/><Relationship Id="rId48" Type="http://schemas.openxmlformats.org/officeDocument/2006/relationships/hyperlink" Target="https://login.consultant.ru/link/?req=doc&amp;base=LAW&amp;n=513601&amp;dst=101808&amp;field=134&amp;date=09.09.2025" TargetMode="External"/><Relationship Id="rId49" Type="http://schemas.openxmlformats.org/officeDocument/2006/relationships/hyperlink" Target="https://login.consultant.ru/link/?req=doc&amp;base=LAW&amp;n=513601&amp;dst=101892&amp;field=134&amp;date=09.09.2025" TargetMode="External"/><Relationship Id="rId50" Type="http://schemas.openxmlformats.org/officeDocument/2006/relationships/hyperlink" Target="https://login.consultant.ru/link/?req=doc&amp;base=LAW&amp;n=513601&amp;dst=101359&amp;field=134&amp;date=09.09.2025" TargetMode="External"/><Relationship Id="rId51" Type="http://schemas.openxmlformats.org/officeDocument/2006/relationships/hyperlink" Target="https://login.consultant.ru/link/?req=doc&amp;base=LAW&amp;n=513601&amp;dst=101374&amp;field=134&amp;date=09.09.2025" TargetMode="External"/><Relationship Id="rId52" Type="http://schemas.openxmlformats.org/officeDocument/2006/relationships/hyperlink" Target="https://login.consultant.ru/link/?req=doc&amp;base=LAW&amp;n=513601&amp;dst=101383&amp;field=134&amp;date=09.09.2025" TargetMode="External"/><Relationship Id="rId53" Type="http://schemas.openxmlformats.org/officeDocument/2006/relationships/hyperlink" Target="https://login.consultant.ru/link/?req=doc&amp;base=LAW&amp;n=513601&amp;dst=101440&amp;field=134&amp;date=09.09.2025" TargetMode="External"/><Relationship Id="rId54" Type="http://schemas.openxmlformats.org/officeDocument/2006/relationships/hyperlink" Target="https://login.consultant.ru/link/?req=doc&amp;base=LAW&amp;n=513601&amp;dst=101449&amp;field=134&amp;date=09.09.2025" TargetMode="External"/><Relationship Id="rId55" Type="http://schemas.openxmlformats.org/officeDocument/2006/relationships/hyperlink" Target="https://login.consultant.ru/link/?req=doc&amp;base=LAW&amp;n=513601&amp;dst=101467&amp;field=134&amp;date=09.09.2025" TargetMode="External"/><Relationship Id="rId56" Type="http://schemas.openxmlformats.org/officeDocument/2006/relationships/hyperlink" Target="https://login.consultant.ru/link/?req=doc&amp;base=LAW&amp;n=513601&amp;dst=101488&amp;field=134&amp;date=09.09.2025" TargetMode="External"/><Relationship Id="rId57" Type="http://schemas.openxmlformats.org/officeDocument/2006/relationships/hyperlink" Target="https://login.consultant.ru/link/?req=doc&amp;base=LAW&amp;n=513601&amp;dst=101497&amp;field=134&amp;date=09.09.2025" TargetMode="External"/><Relationship Id="rId58" Type="http://schemas.openxmlformats.org/officeDocument/2006/relationships/hyperlink" Target="https://login.consultant.ru/link/?req=doc&amp;base=LAW&amp;n=545313&amp;dst=322&amp;field=134&amp;date=02.10.2026" TargetMode="External"/><Relationship Id="rId59" Type="http://schemas.openxmlformats.org/officeDocument/2006/relationships/hyperlink" Target="https://login.consultant.ru/link/?req=doc&amp;base=LAW&amp;n=545313&amp;dst=328&amp;field=134&amp;date=02.10.2026" TargetMode="External"/><Relationship Id="rId60" Type="http://schemas.openxmlformats.org/officeDocument/2006/relationships/hyperlink" Target="https://login.consultant.ru/link/?req=doc&amp;base=LAW&amp;n=451182&amp;dst=100024&amp;field=134&amp;date=03.09.2025" TargetMode="External"/><Relationship Id="rId61" Type="http://schemas.openxmlformats.org/officeDocument/2006/relationships/hyperlink" Target="https://login.consultant.ru/link/?req=doc&amp;base=LAW&amp;n=451182&amp;dst=100024&amp;field=134&amp;date=03.09.2025" TargetMode="External"/><Relationship Id="rId62" Type="http://schemas.openxmlformats.org/officeDocument/2006/relationships/hyperlink" Target="https://login.consultant.ru/link/?req=doc&amp;base=LAW&amp;n=545313&amp;dst=322&amp;field=134&amp;date=02.10.2026" TargetMode="External"/><Relationship Id="rId63" Type="http://schemas.openxmlformats.org/officeDocument/2006/relationships/hyperlink" Target="https://login.consultant.ru/link/?req=doc&amp;base=LAW&amp;n=545313&amp;dst=328&amp;field=134&amp;date=02.10.2026" TargetMode="External"/><Relationship Id="rId64" Type="http://schemas.openxmlformats.org/officeDocument/2006/relationships/hyperlink" Target="https://login.consultant.ru/link/?req=doc&amp;base=LAW&amp;n=505888&amp;dst=225&amp;field=134&amp;date=05.09.2025" TargetMode="External"/><Relationship Id="rId65" Type="http://schemas.openxmlformats.org/officeDocument/2006/relationships/hyperlink" Target="https://login.consultant.ru/link/?req=doc&amp;base=LAW&amp;n=511948&amp;dst=1170&amp;field=134&amp;date=05.09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A272D08A-184B-4490-A4E7-CE40BDCA02A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dc:language>ru-RU</dc:language>
  <cp:revision>36</cp:revision>
  <dcterms:created xsi:type="dcterms:W3CDTF">2025-03-13T02:29:00Z</dcterms:created>
  <dcterms:modified xsi:type="dcterms:W3CDTF">2026-10-22T14:39:46Z</dcterms:modified>
</cp:coreProperties>
</file>