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proofErr w:type="spellStart"/>
      <w:r w:rsidR="00B96BD9">
        <w:rPr>
          <w:b/>
          <w:sz w:val="22"/>
          <w:szCs w:val="22"/>
        </w:rPr>
        <w:t>яиц,тушек</w:t>
      </w:r>
      <w:proofErr w:type="spellEnd"/>
      <w:r w:rsidR="00B96BD9">
        <w:rPr>
          <w:b/>
          <w:sz w:val="22"/>
          <w:szCs w:val="22"/>
        </w:rPr>
        <w:t xml:space="preserve"> бойлера (кур)</w:t>
      </w:r>
      <w:r w:rsidR="00493D49">
        <w:rPr>
          <w:b/>
          <w:sz w:val="22"/>
          <w:szCs w:val="22"/>
        </w:rPr>
        <w:t>)</w:t>
      </w:r>
    </w:p>
    <w:p w:rsidR="00493D49" w:rsidRDefault="00493D49" w:rsidP="008933C8">
      <w:pPr>
        <w:jc w:val="center"/>
        <w:rPr>
          <w:b/>
          <w:sz w:val="22"/>
          <w:szCs w:val="22"/>
        </w:rPr>
      </w:pPr>
      <w:r>
        <w:rPr>
          <w:b/>
          <w:sz w:val="22"/>
          <w:szCs w:val="22"/>
        </w:rPr>
        <w:t xml:space="preserve">Лот № </w:t>
      </w:r>
      <w:r w:rsidR="00B96BD9">
        <w:rPr>
          <w:b/>
          <w:sz w:val="22"/>
          <w:szCs w:val="22"/>
        </w:rPr>
        <w:t>9</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6B7D62">
        <w:rPr>
          <w:sz w:val="22"/>
          <w:szCs w:val="22"/>
          <w:lang w:val="ru-RU"/>
        </w:rPr>
        <w:t>картофель</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553AFC">
        <w:rPr>
          <w:sz w:val="22"/>
          <w:szCs w:val="22"/>
        </w:rPr>
        <w:t>02 сентября</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553AFC"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553AFC"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553AFC" w:rsidRDefault="00942236" w:rsidP="001F55D5">
            <w:pPr>
              <w:pStyle w:val="20"/>
              <w:rPr>
                <w:sz w:val="22"/>
                <w:szCs w:val="22"/>
                <w:lang w:val="ru-RU" w:eastAsia="ru-RU"/>
              </w:rPr>
            </w:pPr>
          </w:p>
          <w:p w:rsidR="00942236" w:rsidRPr="00553AFC"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553AFC" w:rsidRDefault="00942236" w:rsidP="00942236">
            <w:pPr>
              <w:pStyle w:val="20"/>
              <w:jc w:val="both"/>
              <w:rPr>
                <w:sz w:val="22"/>
                <w:szCs w:val="22"/>
                <w:lang w:val="ru-RU" w:eastAsia="ru-RU"/>
              </w:rPr>
            </w:pPr>
          </w:p>
          <w:p w:rsidR="00942236" w:rsidRPr="00553AFC"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553AFC"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53AFC"/>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279F1"/>
    <w:rsid w:val="007345D6"/>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4788A"/>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00C9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96BD9"/>
    <w:rsid w:val="00BA1FF6"/>
    <w:rsid w:val="00BC039F"/>
    <w:rsid w:val="00BC1B54"/>
    <w:rsid w:val="00BC50A5"/>
    <w:rsid w:val="00BC73A0"/>
    <w:rsid w:val="00BE049E"/>
    <w:rsid w:val="00BF3E43"/>
    <w:rsid w:val="00C25511"/>
    <w:rsid w:val="00C25701"/>
    <w:rsid w:val="00C30907"/>
    <w:rsid w:val="00C312E7"/>
    <w:rsid w:val="00C32F8B"/>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9092B"/>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1</TotalTime>
  <Pages>8</Pages>
  <Words>3654</Words>
  <Characters>20832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2019-08-09T11:37:00Z</dcterms:created>
  <dcterms:modified xsi:type="dcterms:W3CDTF">2019-08-09T11:37:00Z</dcterms:modified>
</cp:coreProperties>
</file>